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D038A" w14:textId="0560BD8E" w:rsidR="00E75725" w:rsidRPr="00E75725" w:rsidRDefault="00E75725" w:rsidP="00E75725">
      <w:pPr>
        <w:jc w:val="center"/>
        <w:rPr>
          <w:rFonts w:asciiTheme="majorBidi" w:hAnsiTheme="majorBidi" w:cstheme="majorBidi"/>
          <w:b/>
          <w:bCs/>
        </w:rPr>
      </w:pPr>
      <w:r w:rsidRPr="00E75725">
        <w:rPr>
          <w:rFonts w:asciiTheme="majorBidi" w:hAnsiTheme="majorBidi" w:cstheme="majorBidi"/>
          <w:b/>
          <w:bCs/>
          <w:lang w:val="es-CO"/>
        </w:rPr>
        <w:t>SIMULACRO</w:t>
      </w:r>
      <w:r w:rsidRPr="00E75725">
        <w:rPr>
          <w:rFonts w:asciiTheme="majorBidi" w:hAnsiTheme="majorBidi" w:cstheme="majorBidi"/>
          <w:b/>
          <w:bCs/>
          <w:lang w:val="es-CO"/>
        </w:rPr>
        <w:t xml:space="preserve">, </w:t>
      </w:r>
      <w:r w:rsidRPr="00E75725">
        <w:rPr>
          <w:rFonts w:asciiTheme="majorBidi" w:hAnsiTheme="majorBidi" w:cstheme="majorBidi"/>
          <w:b/>
          <w:bCs/>
          <w:lang w:val="es-CO"/>
        </w:rPr>
        <w:t>COMPETENCIA III:</w:t>
      </w:r>
      <w:r w:rsidRPr="00E75725">
        <w:rPr>
          <w:rFonts w:asciiTheme="majorBidi" w:hAnsiTheme="majorBidi" w:cstheme="majorBidi"/>
          <w:b/>
          <w:bCs/>
          <w:lang w:val="es-CO"/>
        </w:rPr>
        <w:t xml:space="preserve"> </w:t>
      </w:r>
      <w:r w:rsidRPr="00E75725">
        <w:rPr>
          <w:rFonts w:asciiTheme="majorBidi" w:hAnsiTheme="majorBidi" w:cstheme="majorBidi"/>
          <w:b/>
          <w:bCs/>
        </w:rPr>
        <w:t>REFLEXIÓN Y EVALUACIÓN DEL CONTENIDO DEL TEXTO</w:t>
      </w:r>
    </w:p>
    <w:p w14:paraId="0295D700" w14:textId="77777777" w:rsidR="00E75725" w:rsidRPr="00E75725" w:rsidRDefault="00E75725" w:rsidP="00E75725">
      <w:pPr>
        <w:rPr>
          <w:rFonts w:asciiTheme="majorBidi" w:hAnsiTheme="majorBidi" w:cstheme="majorBidi"/>
          <w:b/>
          <w:bCs/>
          <w:lang w:val="es-CO"/>
        </w:rPr>
      </w:pPr>
    </w:p>
    <w:p w14:paraId="05764482" w14:textId="77777777"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TEXTO 1 </w:t>
      </w:r>
    </w:p>
    <w:p w14:paraId="2B11CDE2" w14:textId="70804F7C" w:rsidR="00E75725" w:rsidRPr="00E75725" w:rsidRDefault="00E75725" w:rsidP="00E75725">
      <w:pPr>
        <w:rPr>
          <w:rFonts w:asciiTheme="majorBidi" w:hAnsiTheme="majorBidi" w:cstheme="majorBidi"/>
          <w:i/>
          <w:iCs/>
          <w:lang w:val="es-CO"/>
        </w:rPr>
      </w:pPr>
      <w:r w:rsidRPr="00E75725">
        <w:rPr>
          <w:rFonts w:asciiTheme="majorBidi" w:hAnsiTheme="majorBidi" w:cstheme="majorBidi"/>
          <w:i/>
          <w:iCs/>
          <w:lang w:val="es-CO"/>
        </w:rPr>
        <w:t>"La insistencia contemporánea en el enfoque de 'competencias laborales' dentro de la escuela pública no es una evolución pedagógica, sino un ejercicio de asimilación semántica. Al sustituir la noción ilustrada de 'conocimiento emancipatorio' por la de 'habilidad ejecutable', la escuela renuncia a su función crítica. La competencia fragmenta el saber en unidades medibles e intercambiables, homologando la mente del estudiante con la lógica del inventario justo a tiempo (</w:t>
      </w:r>
      <w:proofErr w:type="spellStart"/>
      <w:r w:rsidRPr="00E75725">
        <w:rPr>
          <w:rFonts w:asciiTheme="majorBidi" w:hAnsiTheme="majorBidi" w:cstheme="majorBidi"/>
          <w:i/>
          <w:iCs/>
          <w:lang w:val="es-CO"/>
        </w:rPr>
        <w:t>just</w:t>
      </w:r>
      <w:proofErr w:type="spellEnd"/>
      <w:r w:rsidRPr="00E75725">
        <w:rPr>
          <w:rFonts w:asciiTheme="majorBidi" w:hAnsiTheme="majorBidi" w:cstheme="majorBidi"/>
          <w:i/>
          <w:iCs/>
          <w:lang w:val="es-CO"/>
        </w:rPr>
        <w:t>-</w:t>
      </w:r>
      <w:proofErr w:type="spellStart"/>
      <w:r w:rsidRPr="00E75725">
        <w:rPr>
          <w:rFonts w:asciiTheme="majorBidi" w:hAnsiTheme="majorBidi" w:cstheme="majorBidi"/>
          <w:i/>
          <w:iCs/>
          <w:lang w:val="es-CO"/>
        </w:rPr>
        <w:t>in-time</w:t>
      </w:r>
      <w:proofErr w:type="spellEnd"/>
      <w:r w:rsidRPr="00E75725">
        <w:rPr>
          <w:rFonts w:asciiTheme="majorBidi" w:hAnsiTheme="majorBidi" w:cstheme="majorBidi"/>
          <w:i/>
          <w:iCs/>
          <w:lang w:val="es-CO"/>
        </w:rPr>
        <w:t>). Quienes defienden este modelo argumentando que 'permite la inserción exitosa del egresado en el aparato productivo' operan bajo un cinismo pragmático: asumen que la única realidad posible es el mercado y que la función de la educación es decorar la jaula, en lugar de proveer las herramientas para destruirla."</w:t>
      </w:r>
    </w:p>
    <w:p w14:paraId="110CB877" w14:textId="77777777" w:rsidR="00E75725" w:rsidRPr="00E75725" w:rsidRDefault="00E75725" w:rsidP="00E75725">
      <w:pPr>
        <w:rPr>
          <w:rFonts w:asciiTheme="majorBidi" w:hAnsiTheme="majorBidi" w:cstheme="majorBidi"/>
          <w:lang w:val="es-CO"/>
        </w:rPr>
      </w:pPr>
    </w:p>
    <w:p w14:paraId="651414B1" w14:textId="77777777"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1. Considere la premisa del autor según la cual la educación por competencias </w:t>
      </w:r>
      <w:r w:rsidRPr="00E75725">
        <w:rPr>
          <w:rFonts w:asciiTheme="majorBidi" w:hAnsiTheme="majorBidi" w:cstheme="majorBidi"/>
          <w:b/>
          <w:bCs/>
          <w:i/>
          <w:iCs/>
          <w:lang w:val="es-CO"/>
        </w:rPr>
        <w:t>"fragmenta el saber en unidades medibles e intercambiables"</w:t>
      </w:r>
      <w:r w:rsidRPr="00E75725">
        <w:rPr>
          <w:rFonts w:asciiTheme="majorBidi" w:hAnsiTheme="majorBidi" w:cstheme="majorBidi"/>
          <w:b/>
          <w:bCs/>
          <w:lang w:val="es-CO"/>
        </w:rPr>
        <w:t xml:space="preserve">. Para que la conclusión de que </w:t>
      </w:r>
      <w:r w:rsidRPr="00E75725">
        <w:rPr>
          <w:rFonts w:asciiTheme="majorBidi" w:hAnsiTheme="majorBidi" w:cstheme="majorBidi"/>
          <w:b/>
          <w:bCs/>
          <w:i/>
          <w:iCs/>
          <w:lang w:val="es-CO"/>
        </w:rPr>
        <w:t>"la escuela renuncia a su función crítica"</w:t>
      </w:r>
      <w:r w:rsidRPr="00E75725">
        <w:rPr>
          <w:rFonts w:asciiTheme="majorBidi" w:hAnsiTheme="majorBidi" w:cstheme="majorBidi"/>
          <w:b/>
          <w:bCs/>
          <w:lang w:val="es-CO"/>
        </w:rPr>
        <w:t xml:space="preserve"> sea lógicamente suficiente, el texto requiere presuponer de forma obligatoria que:</w:t>
      </w:r>
    </w:p>
    <w:p w14:paraId="4E6AAFFA"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Las habilidades ejecutables carecen por completo de utilidad práctica dentro de los entornos laborales de la sociedad contemporánea.</w:t>
      </w:r>
    </w:p>
    <w:p w14:paraId="6DEDF650"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El pensamiento crítico solo puede emerger de saberes holísticos, universales y desvinculados de cualquier propósito de aplicabilidad inmediata.</w:t>
      </w:r>
    </w:p>
    <w:p w14:paraId="5D0F5BDD"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Los docentes que implementan el enfoque de competencias son conscientes de la subordinación ideológica que ejercen sobre sus alumnos.</w:t>
      </w:r>
    </w:p>
    <w:p w14:paraId="3144106B"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La inserción exitosa de un egresado en el aparato productivo es un fin secundario que las escuelas de élite han logrado superar.</w:t>
      </w:r>
    </w:p>
    <w:p w14:paraId="61D72E2F" w14:textId="77777777" w:rsidR="00E75725" w:rsidRPr="00E75725" w:rsidRDefault="00E75725" w:rsidP="00E75725">
      <w:pPr>
        <w:rPr>
          <w:rFonts w:asciiTheme="majorBidi" w:hAnsiTheme="majorBidi" w:cstheme="majorBidi"/>
          <w:lang w:val="es-CO"/>
        </w:rPr>
      </w:pPr>
    </w:p>
    <w:p w14:paraId="1B369843" w14:textId="77777777"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2. A partir de la carga valorativa del léxico empleado en el fragmento (</w:t>
      </w:r>
      <w:r w:rsidRPr="00E75725">
        <w:rPr>
          <w:rFonts w:asciiTheme="majorBidi" w:hAnsiTheme="majorBidi" w:cstheme="majorBidi"/>
          <w:b/>
          <w:bCs/>
          <w:i/>
          <w:iCs/>
          <w:lang w:val="es-CO"/>
        </w:rPr>
        <w:t>"asimilación semántica"</w:t>
      </w:r>
      <w:r w:rsidRPr="00E75725">
        <w:rPr>
          <w:rFonts w:asciiTheme="majorBidi" w:hAnsiTheme="majorBidi" w:cstheme="majorBidi"/>
          <w:b/>
          <w:bCs/>
          <w:lang w:val="es-CO"/>
        </w:rPr>
        <w:t xml:space="preserve">, </w:t>
      </w:r>
      <w:r w:rsidRPr="00E75725">
        <w:rPr>
          <w:rFonts w:asciiTheme="majorBidi" w:hAnsiTheme="majorBidi" w:cstheme="majorBidi"/>
          <w:b/>
          <w:bCs/>
          <w:i/>
          <w:iCs/>
          <w:lang w:val="es-CO"/>
        </w:rPr>
        <w:t>"cinismo pragmático"</w:t>
      </w:r>
      <w:r w:rsidRPr="00E75725">
        <w:rPr>
          <w:rFonts w:asciiTheme="majorBidi" w:hAnsiTheme="majorBidi" w:cstheme="majorBidi"/>
          <w:b/>
          <w:bCs/>
          <w:lang w:val="es-CO"/>
        </w:rPr>
        <w:t xml:space="preserve">, </w:t>
      </w:r>
      <w:r w:rsidRPr="00E75725">
        <w:rPr>
          <w:rFonts w:asciiTheme="majorBidi" w:hAnsiTheme="majorBidi" w:cstheme="majorBidi"/>
          <w:b/>
          <w:bCs/>
          <w:i/>
          <w:iCs/>
          <w:lang w:val="es-CO"/>
        </w:rPr>
        <w:t>"decorar la jaula"</w:t>
      </w:r>
      <w:r w:rsidRPr="00E75725">
        <w:rPr>
          <w:rFonts w:asciiTheme="majorBidi" w:hAnsiTheme="majorBidi" w:cstheme="majorBidi"/>
          <w:b/>
          <w:bCs/>
          <w:lang w:val="es-CO"/>
        </w:rPr>
        <w:t>), se puede inferir que la estrategia discursiva del autor busca:</w:t>
      </w:r>
    </w:p>
    <w:p w14:paraId="187C0F72"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Demostrar objetivamente la invalidez metodológica del enfoque psicométrico que sustenta la evaluación por competencias.</w:t>
      </w:r>
    </w:p>
    <w:p w14:paraId="6A69385E"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Posicionar el enfoque de competencias no como una opción metodológica neutral, sino como un dispositivo de control ideológico y alienación económica.</w:t>
      </w:r>
    </w:p>
    <w:p w14:paraId="61A45194"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Descalificar las capacidades intelectuales de los pedagogos que diseñan los currículos nacionales basados en estándares.</w:t>
      </w:r>
    </w:p>
    <w:p w14:paraId="77DA7606"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Establecer un puente de diálogo constructivo entre la teoría de la reproducción social y el pragmatismo pedagógico.</w:t>
      </w:r>
    </w:p>
    <w:p w14:paraId="118EFFB6" w14:textId="77777777" w:rsidR="00E75725" w:rsidRPr="00E75725" w:rsidRDefault="00E75725" w:rsidP="00E75725">
      <w:pPr>
        <w:rPr>
          <w:rFonts w:asciiTheme="majorBidi" w:hAnsiTheme="majorBidi" w:cstheme="majorBidi"/>
          <w:b/>
          <w:bCs/>
          <w:lang w:val="es-CO"/>
        </w:rPr>
      </w:pPr>
    </w:p>
    <w:p w14:paraId="12EECD87" w14:textId="66A66F1E"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TEXTO 2 </w:t>
      </w:r>
    </w:p>
    <w:p w14:paraId="6E4F6591" w14:textId="77777777" w:rsidR="00E75725" w:rsidRPr="00E75725" w:rsidRDefault="00E75725" w:rsidP="00E75725">
      <w:pPr>
        <w:rPr>
          <w:rFonts w:asciiTheme="majorBidi" w:hAnsiTheme="majorBidi" w:cstheme="majorBidi"/>
          <w:i/>
          <w:iCs/>
          <w:lang w:val="es-CO"/>
        </w:rPr>
      </w:pPr>
      <w:r w:rsidRPr="00E75725">
        <w:rPr>
          <w:rFonts w:asciiTheme="majorBidi" w:hAnsiTheme="majorBidi" w:cstheme="majorBidi"/>
          <w:i/>
          <w:iCs/>
          <w:lang w:val="es-CO"/>
        </w:rPr>
        <w:t>"Un estudio longitudinal de la Fundación para el Desarrollo Global analizó diez instituciones públicas que adoptaron un sistema de '</w:t>
      </w:r>
      <w:proofErr w:type="spellStart"/>
      <w:r w:rsidRPr="00E75725">
        <w:rPr>
          <w:rFonts w:asciiTheme="majorBidi" w:hAnsiTheme="majorBidi" w:cstheme="majorBidi"/>
          <w:i/>
          <w:iCs/>
          <w:lang w:val="es-CO"/>
        </w:rPr>
        <w:t>vouchers</w:t>
      </w:r>
      <w:proofErr w:type="spellEnd"/>
      <w:r w:rsidRPr="00E75725">
        <w:rPr>
          <w:rFonts w:asciiTheme="majorBidi" w:hAnsiTheme="majorBidi" w:cstheme="majorBidi"/>
          <w:i/>
          <w:iCs/>
          <w:lang w:val="es-CO"/>
        </w:rPr>
        <w:t xml:space="preserve">' o cheques escolares económicos entregados directamente a las familias. El informe concluye que, tras tres años, el índice de satisfacción de los padres aumentó en un $94\%$ y la retención escolar mejoró significativamente. Aquellos detractores que insisten en que la financiación pública directa a la oferta (darle el dinero al colegio y no a la familia) es el único camino para defender la educación pública, ignoran la evidencia empírica. Si la libertad de elección de las </w:t>
      </w:r>
      <w:r w:rsidRPr="00E75725">
        <w:rPr>
          <w:rFonts w:asciiTheme="majorBidi" w:hAnsiTheme="majorBidi" w:cstheme="majorBidi"/>
          <w:i/>
          <w:iCs/>
          <w:lang w:val="es-CO"/>
        </w:rPr>
        <w:lastRenderedPageBreak/>
        <w:t>familias produce instituciones más eficientes y usuarios más conformes, el monopolio educativo del Estado carece de todo sustento moral y pedagógico."</w:t>
      </w:r>
    </w:p>
    <w:p w14:paraId="4F458AE4" w14:textId="77777777" w:rsidR="00E75725" w:rsidRPr="00E75725" w:rsidRDefault="00E75725" w:rsidP="00E75725">
      <w:pPr>
        <w:rPr>
          <w:rFonts w:asciiTheme="majorBidi" w:hAnsiTheme="majorBidi" w:cstheme="majorBidi"/>
          <w:lang w:val="es-CO"/>
        </w:rPr>
      </w:pPr>
    </w:p>
    <w:p w14:paraId="76F86E59" w14:textId="77777777"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3. Imagine que un análisis metodológico posterior demostrara que las diez instituciones analizadas en el estudio ya contaban, antes de la prueba, con la mejor infraestructura de la región y con una población estudiantil de estrato socioeconómico medio-alto. Frente al argumento del autor, este hallazgo contextual actuaría como:</w:t>
      </w:r>
    </w:p>
    <w:p w14:paraId="33AE4425"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Una premisa irrelevante, dado que el autor fundamenta su conclusión en el principio ético de la libertad de elección y no en la infraestructura física.</w:t>
      </w:r>
    </w:p>
    <w:p w14:paraId="3F790400"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Una variable de confusión que invalida la fuerza inductiva del argumento, al demostrar que el éxito observado se debió a factores de base y no al sistema de '</w:t>
      </w:r>
      <w:proofErr w:type="spellStart"/>
      <w:r w:rsidRPr="00E75725">
        <w:rPr>
          <w:rFonts w:asciiTheme="majorBidi" w:hAnsiTheme="majorBidi" w:cstheme="majorBidi"/>
          <w:lang w:val="es-CO"/>
        </w:rPr>
        <w:t>vouchers</w:t>
      </w:r>
      <w:proofErr w:type="spellEnd"/>
      <w:r w:rsidRPr="00E75725">
        <w:rPr>
          <w:rFonts w:asciiTheme="majorBidi" w:hAnsiTheme="majorBidi" w:cstheme="majorBidi"/>
          <w:lang w:val="es-CO"/>
        </w:rPr>
        <w:t>'.</w:t>
      </w:r>
    </w:p>
    <w:p w14:paraId="209B558F"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Una prueba confirmatoria indirecta, puesto que ratifica que las familias con mayores recursos económicos toman decisiones más eficientes.</w:t>
      </w:r>
    </w:p>
    <w:p w14:paraId="022E1576"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Un contraargumento deductivo que tumba la validez de la conclusión moral del autor respecto al monopolio del Estado.</w:t>
      </w:r>
    </w:p>
    <w:p w14:paraId="7E7F749C" w14:textId="77777777" w:rsidR="00E75725" w:rsidRPr="00E75725" w:rsidRDefault="00E75725" w:rsidP="00E75725">
      <w:pPr>
        <w:rPr>
          <w:rFonts w:asciiTheme="majorBidi" w:hAnsiTheme="majorBidi" w:cstheme="majorBidi"/>
          <w:lang w:val="es-CO"/>
        </w:rPr>
      </w:pPr>
    </w:p>
    <w:p w14:paraId="3CFA006C" w14:textId="77777777"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4. Desde la perspectiva de la lógica argumentativa, el paso de la premisa </w:t>
      </w:r>
      <w:r w:rsidRPr="00E75725">
        <w:rPr>
          <w:rFonts w:asciiTheme="majorBidi" w:hAnsiTheme="majorBidi" w:cstheme="majorBidi"/>
          <w:b/>
          <w:bCs/>
          <w:i/>
          <w:iCs/>
          <w:lang w:val="es-CO"/>
        </w:rPr>
        <w:t>"el índice de satisfacción de los padres aumentó"</w:t>
      </w:r>
      <w:r w:rsidRPr="00E75725">
        <w:rPr>
          <w:rFonts w:asciiTheme="majorBidi" w:hAnsiTheme="majorBidi" w:cstheme="majorBidi"/>
          <w:b/>
          <w:bCs/>
          <w:lang w:val="es-CO"/>
        </w:rPr>
        <w:t xml:space="preserve"> a la conclusión de que </w:t>
      </w:r>
      <w:r w:rsidRPr="00E75725">
        <w:rPr>
          <w:rFonts w:asciiTheme="majorBidi" w:hAnsiTheme="majorBidi" w:cstheme="majorBidi"/>
          <w:b/>
          <w:bCs/>
          <w:i/>
          <w:iCs/>
          <w:lang w:val="es-CO"/>
        </w:rPr>
        <w:t>"el monopolio educativo del Estado carece de todo sustento moral y pedagógico"</w:t>
      </w:r>
      <w:r w:rsidRPr="00E75725">
        <w:rPr>
          <w:rFonts w:asciiTheme="majorBidi" w:hAnsiTheme="majorBidi" w:cstheme="majorBidi"/>
          <w:b/>
          <w:bCs/>
          <w:lang w:val="es-CO"/>
        </w:rPr>
        <w:t xml:space="preserve"> resulta inválido porque incurre en:</w:t>
      </w:r>
    </w:p>
    <w:p w14:paraId="5DEEFDAF"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Una falacia </w:t>
      </w:r>
      <w:r w:rsidRPr="00E75725">
        <w:rPr>
          <w:rFonts w:asciiTheme="majorBidi" w:hAnsiTheme="majorBidi" w:cstheme="majorBidi"/>
          <w:i/>
          <w:iCs/>
          <w:lang w:val="es-CO"/>
        </w:rPr>
        <w:t xml:space="preserve">Ad </w:t>
      </w:r>
      <w:proofErr w:type="spellStart"/>
      <w:r w:rsidRPr="00E75725">
        <w:rPr>
          <w:rFonts w:asciiTheme="majorBidi" w:hAnsiTheme="majorBidi" w:cstheme="majorBidi"/>
          <w:i/>
          <w:iCs/>
          <w:lang w:val="es-CO"/>
        </w:rPr>
        <w:t>Populum</w:t>
      </w:r>
      <w:proofErr w:type="spellEnd"/>
      <w:r w:rsidRPr="00E75725">
        <w:rPr>
          <w:rFonts w:asciiTheme="majorBidi" w:hAnsiTheme="majorBidi" w:cstheme="majorBidi"/>
          <w:lang w:val="es-CO"/>
        </w:rPr>
        <w:t>, al asumir que la satisfacción de un grupo de usuarios equivale a la calidad científica de un modelo pedagógico.</w:t>
      </w:r>
    </w:p>
    <w:p w14:paraId="34871A3C"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Una generalización apresurada basada en una muestra que carece de representatividad estadística para el sistema nacional.</w:t>
      </w:r>
    </w:p>
    <w:p w14:paraId="3E064CB5"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Un non </w:t>
      </w:r>
      <w:proofErr w:type="spellStart"/>
      <w:r w:rsidRPr="00E75725">
        <w:rPr>
          <w:rFonts w:asciiTheme="majorBidi" w:hAnsiTheme="majorBidi" w:cstheme="majorBidi"/>
          <w:lang w:val="es-CO"/>
        </w:rPr>
        <w:t>sequitur</w:t>
      </w:r>
      <w:proofErr w:type="spellEnd"/>
      <w:r w:rsidRPr="00E75725">
        <w:rPr>
          <w:rFonts w:asciiTheme="majorBidi" w:hAnsiTheme="majorBidi" w:cstheme="majorBidi"/>
          <w:lang w:val="es-CO"/>
        </w:rPr>
        <w:t xml:space="preserve"> (ruptura de nexo lógico), al derivar una descalificación moral y ontológica del Estado a partir de una métrica de percepción de un servicio.</w:t>
      </w:r>
    </w:p>
    <w:p w14:paraId="12B99E96"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Una falacia </w:t>
      </w:r>
      <w:r w:rsidRPr="00E75725">
        <w:rPr>
          <w:rFonts w:asciiTheme="majorBidi" w:hAnsiTheme="majorBidi" w:cstheme="majorBidi"/>
          <w:i/>
          <w:iCs/>
          <w:lang w:val="es-CO"/>
        </w:rPr>
        <w:t>Ad Ignorantiam</w:t>
      </w:r>
      <w:r w:rsidRPr="00E75725">
        <w:rPr>
          <w:rFonts w:asciiTheme="majorBidi" w:hAnsiTheme="majorBidi" w:cstheme="majorBidi"/>
          <w:lang w:val="es-CO"/>
        </w:rPr>
        <w:t>, al sostener la eficiencia del subsidio a la demanda solo porque no se han probado las virtudes de la oferta.</w:t>
      </w:r>
    </w:p>
    <w:p w14:paraId="0E282140" w14:textId="77777777" w:rsidR="00E75725" w:rsidRPr="00E75725" w:rsidRDefault="00E75725" w:rsidP="00E75725">
      <w:pPr>
        <w:rPr>
          <w:rFonts w:asciiTheme="majorBidi" w:hAnsiTheme="majorBidi" w:cstheme="majorBidi"/>
          <w:b/>
          <w:bCs/>
          <w:lang w:val="es-CO"/>
        </w:rPr>
      </w:pPr>
    </w:p>
    <w:p w14:paraId="7605AA5E" w14:textId="1F58AE05"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TEXTO 3 </w:t>
      </w:r>
    </w:p>
    <w:p w14:paraId="5265DC19"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i/>
          <w:iCs/>
          <w:lang w:val="es-CO"/>
        </w:rPr>
        <w:t xml:space="preserve">"La fascinación de los ministerios de educación por la </w:t>
      </w:r>
      <w:proofErr w:type="spellStart"/>
      <w:r w:rsidRPr="00E75725">
        <w:rPr>
          <w:rFonts w:asciiTheme="majorBidi" w:hAnsiTheme="majorBidi" w:cstheme="majorBidi"/>
          <w:i/>
          <w:iCs/>
          <w:lang w:val="es-CO"/>
        </w:rPr>
        <w:t>neuroarquitectura</w:t>
      </w:r>
      <w:proofErr w:type="spellEnd"/>
      <w:r w:rsidRPr="00E75725">
        <w:rPr>
          <w:rFonts w:asciiTheme="majorBidi" w:hAnsiTheme="majorBidi" w:cstheme="majorBidi"/>
          <w:i/>
          <w:iCs/>
          <w:lang w:val="es-CO"/>
        </w:rPr>
        <w:t xml:space="preserve"> escolar y el diseño de aulas '</w:t>
      </w:r>
      <w:proofErr w:type="spellStart"/>
      <w:r w:rsidRPr="00E75725">
        <w:rPr>
          <w:rFonts w:asciiTheme="majorBidi" w:hAnsiTheme="majorBidi" w:cstheme="majorBidi"/>
          <w:i/>
          <w:iCs/>
          <w:lang w:val="es-CO"/>
        </w:rPr>
        <w:t>neurofisiológicamente</w:t>
      </w:r>
      <w:proofErr w:type="spellEnd"/>
      <w:r w:rsidRPr="00E75725">
        <w:rPr>
          <w:rFonts w:asciiTheme="majorBidi" w:hAnsiTheme="majorBidi" w:cstheme="majorBidi"/>
          <w:i/>
          <w:iCs/>
          <w:lang w:val="es-CO"/>
        </w:rPr>
        <w:t xml:space="preserve"> amigables' (con iluminación cromática regulada y mobiliario ergonómico dinámico) roza lo místico. Se gasta un presupuesto millonario en modificar el espacio físico bajo la premisa de que 'un cerebro sin cortisol aprende un 40% más rápido'. Sin embargo, en las escuelas de las periferias geográficas de nuestra nación, los niños asisten a clases con las aulas inundadas por aguas negras y con desnutrición crónica. Modificar el color de las paredes para optimizar las ondas alfa del cerebro en un contexto de miseria estructural es como pretender curar una hemorragia interna colocándole una costosa cinta adhesiva de diseñador al paciente."</w:t>
      </w:r>
    </w:p>
    <w:p w14:paraId="56206889" w14:textId="77777777" w:rsidR="00E75725" w:rsidRPr="00E75725" w:rsidRDefault="00E75725" w:rsidP="00E75725">
      <w:pPr>
        <w:rPr>
          <w:rFonts w:asciiTheme="majorBidi" w:hAnsiTheme="majorBidi" w:cstheme="majorBidi"/>
          <w:b/>
          <w:bCs/>
          <w:lang w:val="es-CO"/>
        </w:rPr>
      </w:pPr>
    </w:p>
    <w:p w14:paraId="28B97FFA" w14:textId="2818AFE3"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5. ¿Qué función analítico-crítica cumple la analogía final del paciente con la </w:t>
      </w:r>
      <w:r w:rsidRPr="00E75725">
        <w:rPr>
          <w:rFonts w:asciiTheme="majorBidi" w:hAnsiTheme="majorBidi" w:cstheme="majorBidi"/>
          <w:b/>
          <w:bCs/>
          <w:i/>
          <w:iCs/>
          <w:lang w:val="es-CO"/>
        </w:rPr>
        <w:t>"hemorragia interna"</w:t>
      </w:r>
      <w:r w:rsidRPr="00E75725">
        <w:rPr>
          <w:rFonts w:asciiTheme="majorBidi" w:hAnsiTheme="majorBidi" w:cstheme="majorBidi"/>
          <w:b/>
          <w:bCs/>
          <w:lang w:val="es-CO"/>
        </w:rPr>
        <w:t xml:space="preserve"> y la </w:t>
      </w:r>
      <w:r w:rsidRPr="00E75725">
        <w:rPr>
          <w:rFonts w:asciiTheme="majorBidi" w:hAnsiTheme="majorBidi" w:cstheme="majorBidi"/>
          <w:b/>
          <w:bCs/>
          <w:i/>
          <w:iCs/>
          <w:lang w:val="es-CO"/>
        </w:rPr>
        <w:t>"cinta adhesiva de diseñador"</w:t>
      </w:r>
      <w:r w:rsidRPr="00E75725">
        <w:rPr>
          <w:rFonts w:asciiTheme="majorBidi" w:hAnsiTheme="majorBidi" w:cstheme="majorBidi"/>
          <w:b/>
          <w:bCs/>
          <w:lang w:val="es-CO"/>
        </w:rPr>
        <w:t xml:space="preserve"> en la estructura del texto?</w:t>
      </w:r>
    </w:p>
    <w:p w14:paraId="6F6F6BF0"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Ilustrar de manera didáctica los costos financieros asociados a la implementación de la </w:t>
      </w:r>
      <w:proofErr w:type="spellStart"/>
      <w:r w:rsidRPr="00E75725">
        <w:rPr>
          <w:rFonts w:asciiTheme="majorBidi" w:hAnsiTheme="majorBidi" w:cstheme="majorBidi"/>
          <w:lang w:val="es-CO"/>
        </w:rPr>
        <w:t>neuroarquitectura</w:t>
      </w:r>
      <w:proofErr w:type="spellEnd"/>
      <w:r w:rsidRPr="00E75725">
        <w:rPr>
          <w:rFonts w:asciiTheme="majorBidi" w:hAnsiTheme="majorBidi" w:cstheme="majorBidi"/>
          <w:lang w:val="es-CO"/>
        </w:rPr>
        <w:t xml:space="preserve"> en hospitales públicos.</w:t>
      </w:r>
    </w:p>
    <w:p w14:paraId="208CD964"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Evidenciar la total incompatibilidad técnica que existe entre los descubrimientos de la neurociencia contemporánea y los modelos pedagógicos tradicionales.</w:t>
      </w:r>
    </w:p>
    <w:p w14:paraId="567C86E7"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lastRenderedPageBreak/>
        <w:t>C.</w:t>
      </w:r>
      <w:r w:rsidRPr="00E75725">
        <w:rPr>
          <w:rFonts w:asciiTheme="majorBidi" w:hAnsiTheme="majorBidi" w:cstheme="majorBidi"/>
          <w:lang w:val="es-CO"/>
        </w:rPr>
        <w:t xml:space="preserve"> Denunciar la desconexión prioritaria de las políticas públicas tecnocráticas, las cuales mitigan estéticamente los síntomas superficiales sin intervenir las causas socioeconómicas estructurales.</w:t>
      </w:r>
    </w:p>
    <w:p w14:paraId="025020E4"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Argumentar que los docentes de las periferias deben priorizar la salud física y médica de los estudiantes antes de aplicar estrategias didácticas vanguardistas.</w:t>
      </w:r>
    </w:p>
    <w:p w14:paraId="11F7B3E9" w14:textId="77777777" w:rsidR="00E75725" w:rsidRPr="00E75725" w:rsidRDefault="00E75725" w:rsidP="00E75725">
      <w:pPr>
        <w:rPr>
          <w:rFonts w:asciiTheme="majorBidi" w:hAnsiTheme="majorBidi" w:cstheme="majorBidi"/>
          <w:b/>
          <w:bCs/>
          <w:lang w:val="es-CO"/>
        </w:rPr>
      </w:pPr>
    </w:p>
    <w:p w14:paraId="570A7D8E" w14:textId="34573E24"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6. A partir de una lectura profunda del fragmento, ¿cuál es el sesgo ideológico principal que el autor le atribuye a los diseñadores de la política de "</w:t>
      </w:r>
      <w:proofErr w:type="spellStart"/>
      <w:r w:rsidRPr="00E75725">
        <w:rPr>
          <w:rFonts w:asciiTheme="majorBidi" w:hAnsiTheme="majorBidi" w:cstheme="majorBidi"/>
          <w:b/>
          <w:bCs/>
          <w:lang w:val="es-CO"/>
        </w:rPr>
        <w:t>neuroarquitectura</w:t>
      </w:r>
      <w:proofErr w:type="spellEnd"/>
      <w:r w:rsidRPr="00E75725">
        <w:rPr>
          <w:rFonts w:asciiTheme="majorBidi" w:hAnsiTheme="majorBidi" w:cstheme="majorBidi"/>
          <w:b/>
          <w:bCs/>
          <w:lang w:val="es-CO"/>
        </w:rPr>
        <w:t xml:space="preserve"> escolar"?</w:t>
      </w:r>
    </w:p>
    <w:p w14:paraId="487F894E"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Un sesgo endogámico que los lleva a contratar únicamente a profesionales de la misma corriente arquitectónica.</w:t>
      </w:r>
    </w:p>
    <w:p w14:paraId="5FC34236"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Un presupuesto reduccionista y descontextualizado que asume que el aprendizaje es un fenómeno puramente biológico-espacial desvinculado de las condiciones materiales de existencia.</w:t>
      </w:r>
    </w:p>
    <w:p w14:paraId="60CFF964"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Una postura política radical que busca privatizar la infraestructura escolar mediante contratos con empresas de diseño cromático.</w:t>
      </w:r>
    </w:p>
    <w:p w14:paraId="259F6120"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Un sesgo de confirmación que los obliga a ignorar los datos estadísticos que demuestran la utilidad real de las aulas ergonómicas.</w:t>
      </w:r>
    </w:p>
    <w:p w14:paraId="3617A6CB" w14:textId="77777777" w:rsidR="00E75725" w:rsidRPr="00E75725" w:rsidRDefault="00E75725" w:rsidP="00E75725">
      <w:pPr>
        <w:rPr>
          <w:rFonts w:asciiTheme="majorBidi" w:hAnsiTheme="majorBidi" w:cstheme="majorBidi"/>
          <w:b/>
          <w:bCs/>
          <w:lang w:val="es-CO"/>
        </w:rPr>
      </w:pPr>
    </w:p>
    <w:p w14:paraId="6E5DBC66" w14:textId="726468A6"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TEXTO 4 </w:t>
      </w:r>
    </w:p>
    <w:p w14:paraId="1D11829A"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i/>
          <w:iCs/>
          <w:lang w:val="es-CO"/>
        </w:rPr>
        <w:t>"Nuestra institución educativa debe abrazar con valentía la era de la desescolarización digital total. El aula física, el horario fragmentado y la figura del maestro como oráculo son reliquias de la era industrial. El conocimiento ya no reside en las cabezas, sino en la red. En consecuencia, mantener un currículo rígido basado en asignaturas es un atentado contra el libre desarrollo de la personalidad del estudiante. La única alternativa democrática es disolver la escuela y sustituirla por nodos de autoaprendizaje algorítmico personalizado, donde cada joven, guiado por un tutor de Inteligencia Artificial, construya su propia trayectoria de información de acuerdo con sus intereses individuales. Mantener los muros de la escuela es mantener los muros del autoritarismo cognitivo."</w:t>
      </w:r>
    </w:p>
    <w:p w14:paraId="2BB4D022" w14:textId="77777777" w:rsidR="00E75725" w:rsidRPr="00E75725" w:rsidRDefault="00E75725" w:rsidP="00E75725">
      <w:pPr>
        <w:rPr>
          <w:rFonts w:asciiTheme="majorBidi" w:hAnsiTheme="majorBidi" w:cstheme="majorBidi"/>
          <w:b/>
          <w:bCs/>
          <w:lang w:val="es-CO"/>
        </w:rPr>
      </w:pPr>
    </w:p>
    <w:p w14:paraId="43CC1700" w14:textId="446682CD"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7. Desde la perspectiva de la evaluación de las estrategias argumentativas, el postulado de que </w:t>
      </w:r>
      <w:r w:rsidRPr="00E75725">
        <w:rPr>
          <w:rFonts w:asciiTheme="majorBidi" w:hAnsiTheme="majorBidi" w:cstheme="majorBidi"/>
          <w:b/>
          <w:bCs/>
          <w:i/>
          <w:iCs/>
          <w:lang w:val="es-CO"/>
        </w:rPr>
        <w:t>"la única alternativa democrática es disolver la escuela"</w:t>
      </w:r>
      <w:r w:rsidRPr="00E75725">
        <w:rPr>
          <w:rFonts w:asciiTheme="majorBidi" w:hAnsiTheme="majorBidi" w:cstheme="majorBidi"/>
          <w:b/>
          <w:bCs/>
          <w:lang w:val="es-CO"/>
        </w:rPr>
        <w:t xml:space="preserve"> configura una debilidad lógica porque:</w:t>
      </w:r>
    </w:p>
    <w:p w14:paraId="079B38AA"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Presupone de forma errónea que las inteligencias artificiales actuales carecen de los sesgos de programación impuestos por sus creadores.</w:t>
      </w:r>
    </w:p>
    <w:p w14:paraId="68D9872E"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Utiliza un conector disyuntivo para forzar un falso dilema que clausura e invisibiliza opciones intermedias, tales como la transformación democrática o el uso híbrido del aula física.</w:t>
      </w:r>
    </w:p>
    <w:p w14:paraId="7C23DD1A"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Carece de validez jurídica al violar los estatutos laborales que protegen la estabilidad económica de los docentes sindicalizados.</w:t>
      </w:r>
    </w:p>
    <w:p w14:paraId="06E63625"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Se apoya en una falacia </w:t>
      </w:r>
      <w:r w:rsidRPr="00E75725">
        <w:rPr>
          <w:rFonts w:asciiTheme="majorBidi" w:hAnsiTheme="majorBidi" w:cstheme="majorBidi"/>
          <w:i/>
          <w:iCs/>
          <w:lang w:val="es-CO"/>
        </w:rPr>
        <w:t>Ad Hominem</w:t>
      </w:r>
      <w:r w:rsidRPr="00E75725">
        <w:rPr>
          <w:rFonts w:asciiTheme="majorBidi" w:hAnsiTheme="majorBidi" w:cstheme="majorBidi"/>
          <w:lang w:val="es-CO"/>
        </w:rPr>
        <w:t xml:space="preserve"> que ataca directamente la moral de los maestros tradicionales calificándolos de "oráculos" industriales.</w:t>
      </w:r>
    </w:p>
    <w:p w14:paraId="412E43F0" w14:textId="77777777" w:rsidR="00E75725" w:rsidRPr="00E75725" w:rsidRDefault="00E75725" w:rsidP="00E75725">
      <w:pPr>
        <w:rPr>
          <w:rFonts w:asciiTheme="majorBidi" w:hAnsiTheme="majorBidi" w:cstheme="majorBidi"/>
          <w:b/>
          <w:bCs/>
          <w:lang w:val="es-CO"/>
        </w:rPr>
      </w:pPr>
    </w:p>
    <w:p w14:paraId="48B7DB1E" w14:textId="34872F4C"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8. Si confrontamos la propuesta de desescolarización total y aprendizaje basado estrictamente en el interés individual con las tesis del psicólogo social Lev Vygotsky respecto al papel de la interacción humana en el desarrollo cognitivo, la propuesta del texto resultaría:</w:t>
      </w:r>
    </w:p>
    <w:p w14:paraId="505DF825"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Incompatible, porque para Vygotsky el aprendizaje no es un acto de consumo de información individual y aislado, sino un proceso sociohistórico que requiere de la mediación cultural y social de un par o adulto experto.</w:t>
      </w:r>
    </w:p>
    <w:p w14:paraId="40059303"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lastRenderedPageBreak/>
        <w:t>B.</w:t>
      </w:r>
      <w:r w:rsidRPr="00E75725">
        <w:rPr>
          <w:rFonts w:asciiTheme="majorBidi" w:hAnsiTheme="majorBidi" w:cstheme="majorBidi"/>
          <w:lang w:val="es-CO"/>
        </w:rPr>
        <w:t xml:space="preserve"> Correspondiente, dado que la Inteligencia Artificial actúa como un par simétrico que se adapta perfectamente a la Zona de Desarrollo Próximo del estudiante.</w:t>
      </w:r>
    </w:p>
    <w:p w14:paraId="30E59F53"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Viable, puesto que la disolución de los muros de la escuela acelera la interiorización de las herramientas psicológicas en la comodidad del hogar.</w:t>
      </w:r>
    </w:p>
    <w:p w14:paraId="741E06B2"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Irrelevante, debido a que las teorías del siglo XX carecen de vigencia epistemológica al ser aplicadas a entornos virtuales dominados por algoritmos predictivos.</w:t>
      </w:r>
    </w:p>
    <w:p w14:paraId="56EF53FC" w14:textId="77777777" w:rsidR="00E75725" w:rsidRPr="00E75725" w:rsidRDefault="00E75725" w:rsidP="00E75725">
      <w:pPr>
        <w:rPr>
          <w:rFonts w:asciiTheme="majorBidi" w:hAnsiTheme="majorBidi" w:cstheme="majorBidi"/>
          <w:b/>
          <w:bCs/>
          <w:lang w:val="es-CO"/>
        </w:rPr>
      </w:pPr>
    </w:p>
    <w:p w14:paraId="3EF3C8CF" w14:textId="4FEBF9AE"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TEXTO 5 </w:t>
      </w:r>
    </w:p>
    <w:p w14:paraId="296B87A4"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i/>
          <w:iCs/>
          <w:lang w:val="es-CO"/>
        </w:rPr>
        <w:t>"La política de cuotas afirmativas para minorías étnicas en el acceso a las facultades de educación ha sido tildada por sectores conservadores de 'atentado contra la meritocracia'. El influyente columnista de opinión internacional, Dr. Arthur Vance, señala en su último ensayo que 'cuando el criterio étnico prevalece sobre el puntaje estandarizado, el sistema universitario abdica de la excelencia'. No obstante, Vance omite maliciosamente que las pruebas estandarizadas no miden el talento ontológico, sino el capital socioeconómico acumulado. Exigir la misma puntuación a un joven de una comunidad indígena rural que a uno de un colegio privado urbano es validar una farsa. Si la universidad pública no refleja la demografía de la nación, se convierte en un club privado financiado con los impuestos de los excluidos."</w:t>
      </w:r>
    </w:p>
    <w:p w14:paraId="006D7C84" w14:textId="77777777" w:rsidR="00E75725" w:rsidRPr="00E75725" w:rsidRDefault="00E75725" w:rsidP="00E75725">
      <w:pPr>
        <w:rPr>
          <w:rFonts w:asciiTheme="majorBidi" w:hAnsiTheme="majorBidi" w:cstheme="majorBidi"/>
          <w:b/>
          <w:bCs/>
          <w:lang w:val="es-CO"/>
        </w:rPr>
      </w:pPr>
    </w:p>
    <w:p w14:paraId="1D3F5B46" w14:textId="2AD675AF"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9. Al confrontar el postulado del Dr. Arthur Vance con los contraargumentos del autor del informe, se evidencia que la debilidad metodológica que el texto le adjudica al enfoque meritocrático puro consiste en:</w:t>
      </w:r>
    </w:p>
    <w:p w14:paraId="229D44DA"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Confundir la excelencia académica con el número de publicaciones científicas de una facultad.</w:t>
      </w:r>
    </w:p>
    <w:p w14:paraId="0667306C"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Incurrir en un sesgo de medición que toma un indicador influido por variables socioeconómicas y lo hace pasar como una métrica de capacidad innata.</w:t>
      </w:r>
    </w:p>
    <w:p w14:paraId="3FB94ED0"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Ignorar que las minorías étnicas tienen una predisposición biológica diferente hacia las carreras humanísticas.</w:t>
      </w:r>
    </w:p>
    <w:p w14:paraId="43116884"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Subestimar el impacto que los exámenes de admisión tienen en la salud mental y los niveles de estrés de los estudiantes.</w:t>
      </w:r>
    </w:p>
    <w:p w14:paraId="75C862FA" w14:textId="77777777" w:rsidR="00E75725" w:rsidRPr="00E75725" w:rsidRDefault="00E75725" w:rsidP="00E75725">
      <w:pPr>
        <w:rPr>
          <w:rFonts w:asciiTheme="majorBidi" w:hAnsiTheme="majorBidi" w:cstheme="majorBidi"/>
          <w:b/>
          <w:bCs/>
          <w:lang w:val="es-CO"/>
        </w:rPr>
      </w:pPr>
    </w:p>
    <w:p w14:paraId="0DE35976" w14:textId="034E8170"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10. La afirmación final del autor respecto a que la universidad pública sin diversidad se convierte en </w:t>
      </w:r>
      <w:r w:rsidRPr="00E75725">
        <w:rPr>
          <w:rFonts w:asciiTheme="majorBidi" w:hAnsiTheme="majorBidi" w:cstheme="majorBidi"/>
          <w:b/>
          <w:bCs/>
          <w:i/>
          <w:iCs/>
          <w:lang w:val="es-CO"/>
        </w:rPr>
        <w:t>"un club privado financiado con los impuestos de los excluidos"</w:t>
      </w:r>
      <w:r w:rsidRPr="00E75725">
        <w:rPr>
          <w:rFonts w:asciiTheme="majorBidi" w:hAnsiTheme="majorBidi" w:cstheme="majorBidi"/>
          <w:b/>
          <w:bCs/>
          <w:lang w:val="es-CO"/>
        </w:rPr>
        <w:t xml:space="preserve"> cumple la función argumentativa de:</w:t>
      </w:r>
    </w:p>
    <w:p w14:paraId="65EBBE9C"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Presentar un dato estadístico concluyente sobre la recaudación fiscal de las minorías.</w:t>
      </w:r>
    </w:p>
    <w:p w14:paraId="1FFC5019"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Exponer una paradoja de orden ético y distributivo para deslegitimar la neutralidad moral del modelo meritocrático tradicional.</w:t>
      </w:r>
    </w:p>
    <w:p w14:paraId="2D99985D"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Proponer una reforma tributaria que exima del pago de aranceles a las comunidades marginadas.</w:t>
      </w:r>
    </w:p>
    <w:p w14:paraId="7876F3FC" w14:textId="77777777" w:rsid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Desviar el foco de la discusión pedagógica hacia un debate puramente legalista sobre la autonomía universitaria.</w:t>
      </w:r>
    </w:p>
    <w:p w14:paraId="1DB837E5" w14:textId="77777777" w:rsidR="00E75725" w:rsidRPr="00E75725" w:rsidRDefault="00E75725" w:rsidP="00E75725">
      <w:pPr>
        <w:rPr>
          <w:rFonts w:asciiTheme="majorBidi" w:hAnsiTheme="majorBidi" w:cstheme="majorBidi"/>
          <w:lang w:val="es-CO"/>
        </w:rPr>
      </w:pPr>
    </w:p>
    <w:p w14:paraId="067B0057" w14:textId="3877ED6C"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TEXTO 6 </w:t>
      </w:r>
    </w:p>
    <w:p w14:paraId="37C8AB66"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i/>
          <w:iCs/>
          <w:lang w:val="es-CO"/>
        </w:rPr>
        <w:t xml:space="preserve">"Las pruebas estandarizadas internacionales no son termómetros neutrales de la calidad educativa; son instrumentos de colonización pedagógica. Cuando una nación orienta todo su sistema curricular a puntuar bien en exámenes como PISA, reconfigura sus prioridades nacionales en función de los intereses de la OCDE (un organismo estrictamente económico). Un país que destaca en la resolución de problemas abstractos en pantallas, pero cuyos jóvenes son incapaces de comprender la historia de despojo agrario </w:t>
      </w:r>
      <w:r w:rsidRPr="00E75725">
        <w:rPr>
          <w:rFonts w:asciiTheme="majorBidi" w:hAnsiTheme="majorBidi" w:cstheme="majorBidi"/>
          <w:i/>
          <w:iCs/>
          <w:lang w:val="es-CO"/>
        </w:rPr>
        <w:lastRenderedPageBreak/>
        <w:t>de su propio territorio o de cultivar un huerto comunitario, es un país educado para la sumisión global. Medir la riqueza del ecosistema escolar a través de una hoja de respuestas de opción múltiple es como intentar medir la belleza de un bosque contando únicamente los metros cúbicos de madera explotable."</w:t>
      </w:r>
    </w:p>
    <w:p w14:paraId="737C2DF5" w14:textId="77777777" w:rsidR="00E75725" w:rsidRPr="00E75725" w:rsidRDefault="00E75725" w:rsidP="00E75725">
      <w:pPr>
        <w:rPr>
          <w:rFonts w:asciiTheme="majorBidi" w:hAnsiTheme="majorBidi" w:cstheme="majorBidi"/>
          <w:b/>
          <w:bCs/>
          <w:lang w:val="es-CO"/>
        </w:rPr>
      </w:pPr>
    </w:p>
    <w:p w14:paraId="28643ED3" w14:textId="6BDC0A18"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11. Evalúe la validez de la analogía del bosque y los </w:t>
      </w:r>
      <w:r w:rsidRPr="00E75725">
        <w:rPr>
          <w:rFonts w:asciiTheme="majorBidi" w:hAnsiTheme="majorBidi" w:cstheme="majorBidi"/>
          <w:b/>
          <w:bCs/>
          <w:i/>
          <w:iCs/>
          <w:lang w:val="es-CO"/>
        </w:rPr>
        <w:t>"metros cúbicos de madera explotable"</w:t>
      </w:r>
      <w:r w:rsidRPr="00E75725">
        <w:rPr>
          <w:rFonts w:asciiTheme="majorBidi" w:hAnsiTheme="majorBidi" w:cstheme="majorBidi"/>
          <w:b/>
          <w:bCs/>
          <w:lang w:val="es-CO"/>
        </w:rPr>
        <w:t>. Esta correlación estilística es lógicamente coherente con la tesis del texto porque ilustra:</w:t>
      </w:r>
    </w:p>
    <w:p w14:paraId="28CAE52B"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El daño ecológico colateral que causan las papeleras al imprimir millones de folletos para exámenes nacionales.</w:t>
      </w:r>
    </w:p>
    <w:p w14:paraId="0AC66529"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La reducción instrumental de una realidad compleja y viva a una sola métrica de utilidad cuantitativa e industrial.</w:t>
      </w:r>
    </w:p>
    <w:p w14:paraId="782394C2"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La necesidad urgente de trasladar las aulas de clase a entornos naturales y rurales para mejorar el aprendizaje.</w:t>
      </w:r>
    </w:p>
    <w:p w14:paraId="080EBF88"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La ventaja económica intrínseca de los países que basan su desarrollo en la exportación de materias primas.</w:t>
      </w:r>
    </w:p>
    <w:p w14:paraId="46633CE7" w14:textId="77777777" w:rsidR="00E75725" w:rsidRPr="00E75725" w:rsidRDefault="00E75725" w:rsidP="00E75725">
      <w:pPr>
        <w:rPr>
          <w:rFonts w:asciiTheme="majorBidi" w:hAnsiTheme="majorBidi" w:cstheme="majorBidi"/>
          <w:b/>
          <w:bCs/>
          <w:lang w:val="es-CO"/>
        </w:rPr>
      </w:pPr>
    </w:p>
    <w:p w14:paraId="38D66AFF" w14:textId="7DFBF7ED"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12. Si una investigación empírica independiente demostrara de manera contundente que los países que obtienen los puntajes más altos en las pruebas PISA poseen también los índices más altos de pensamiento crítico aplicado a la resolución de conflictos sociales locales, la premisa central del autor:</w:t>
      </w:r>
    </w:p>
    <w:p w14:paraId="14D38105"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Quedaría completamente blindada, pues demostraría que la OCDE también se preocupa por los entornos locales.</w:t>
      </w:r>
    </w:p>
    <w:p w14:paraId="11096221"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Perdería su base empírica de sustentación, al refutarse la supuesta incompatibilidad irreconciliable entre la estandarización global y la conciencia crítica local.</w:t>
      </w:r>
    </w:p>
    <w:p w14:paraId="30064024"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Debería modificarse para incluir variables cualitativas referidas al bienestar emocional de los estudiantes evaluados.</w:t>
      </w:r>
    </w:p>
    <w:p w14:paraId="7AD768BC"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Mantendría intacta su validez deductiva, dado que el estudio empírico no invalida las intenciones corporativas ocultas de la OCDE.</w:t>
      </w:r>
    </w:p>
    <w:p w14:paraId="7D245BF4" w14:textId="77777777" w:rsidR="00E75725" w:rsidRPr="00E75725" w:rsidRDefault="00E75725" w:rsidP="00E75725">
      <w:pPr>
        <w:rPr>
          <w:rFonts w:asciiTheme="majorBidi" w:hAnsiTheme="majorBidi" w:cstheme="majorBidi"/>
          <w:b/>
          <w:bCs/>
          <w:lang w:val="es-CO"/>
        </w:rPr>
      </w:pPr>
    </w:p>
    <w:p w14:paraId="34D9F553" w14:textId="5610E948"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TEXTO 7 </w:t>
      </w:r>
    </w:p>
    <w:p w14:paraId="28A542E7" w14:textId="77777777" w:rsidR="00E75725" w:rsidRDefault="00E75725" w:rsidP="00E75725">
      <w:pPr>
        <w:rPr>
          <w:rFonts w:asciiTheme="majorBidi" w:hAnsiTheme="majorBidi" w:cstheme="majorBidi"/>
          <w:i/>
          <w:iCs/>
          <w:lang w:val="es-CO"/>
        </w:rPr>
      </w:pPr>
      <w:r w:rsidRPr="00E75725">
        <w:rPr>
          <w:rFonts w:asciiTheme="majorBidi" w:hAnsiTheme="majorBidi" w:cstheme="majorBidi"/>
          <w:i/>
          <w:iCs/>
          <w:lang w:val="es-CO"/>
        </w:rPr>
        <w:t>"La enseñanza de la historia en el ciclo de educación básica se ha reducido a una mnemotecnia estéril de fechas, batallas y héroes de mármol. Este enfoque no es inocente: la pedagogía de la efeméride busca clausurar el conflicto. Al presentar la independencia de nuestra nación como un evento cerrado, un cuadro estático del siglo XIX, se le impide al estudiante vincular el pasado con las tensiones del presente. La historia debe enseñarse como un proceso abierto de disputas materiales. Si el alumno no comprende que la estructura de la tenencia de la tierra hoy es una extensión directa de las encomiendas coloniales, la clase de historia se convierte en un parque de diversiones arqueológico que solo sirve para adormecer la conciencia de clase."</w:t>
      </w:r>
    </w:p>
    <w:p w14:paraId="5DBCB3FC" w14:textId="77777777" w:rsidR="00E75725" w:rsidRPr="00E75725" w:rsidRDefault="00E75725" w:rsidP="00E75725">
      <w:pPr>
        <w:rPr>
          <w:rFonts w:asciiTheme="majorBidi" w:hAnsiTheme="majorBidi" w:cstheme="majorBidi"/>
          <w:lang w:val="es-CO"/>
        </w:rPr>
      </w:pPr>
    </w:p>
    <w:p w14:paraId="670451E9" w14:textId="77777777"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13. El autor utiliza la expresión </w:t>
      </w:r>
      <w:r w:rsidRPr="00E75725">
        <w:rPr>
          <w:rFonts w:asciiTheme="majorBidi" w:hAnsiTheme="majorBidi" w:cstheme="majorBidi"/>
          <w:b/>
          <w:bCs/>
          <w:i/>
          <w:iCs/>
          <w:lang w:val="es-CO"/>
        </w:rPr>
        <w:t>"parque de diversiones arqueológico"</w:t>
      </w:r>
      <w:r w:rsidRPr="00E75725">
        <w:rPr>
          <w:rFonts w:asciiTheme="majorBidi" w:hAnsiTheme="majorBidi" w:cstheme="majorBidi"/>
          <w:b/>
          <w:bCs/>
          <w:lang w:val="es-CO"/>
        </w:rPr>
        <w:t xml:space="preserve"> con el propósito retórico de:</w:t>
      </w:r>
    </w:p>
    <w:p w14:paraId="2BC7481D"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Sugerir actividades extracurriculares didácticas en museos de historia natural para dinamizar el currículo.</w:t>
      </w:r>
    </w:p>
    <w:p w14:paraId="17264CAA"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Caricaturizar el enfoque tradicional de la enseñanza histórica, etiquetándolo como un espectáculo inofensivo, exótico y desprovisto de relevancia transformadora para el estudiante.</w:t>
      </w:r>
    </w:p>
    <w:p w14:paraId="3357DE37"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Criticar la falta de presupuesto estatal para la preservación de los monumentos históricos nacionales.</w:t>
      </w:r>
    </w:p>
    <w:p w14:paraId="4CF4B042"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lastRenderedPageBreak/>
        <w:t>D.</w:t>
      </w:r>
      <w:r w:rsidRPr="00E75725">
        <w:rPr>
          <w:rFonts w:asciiTheme="majorBidi" w:hAnsiTheme="majorBidi" w:cstheme="majorBidi"/>
          <w:lang w:val="es-CO"/>
        </w:rPr>
        <w:t xml:space="preserve"> Defender que los estudiantes de básica carecen de las estructuras cognitivas necesarias para procesar la abstracción del tiempo histórico.</w:t>
      </w:r>
    </w:p>
    <w:p w14:paraId="53C204CE" w14:textId="77777777" w:rsidR="00E75725" w:rsidRPr="00E75725" w:rsidRDefault="00E75725" w:rsidP="00E75725">
      <w:pPr>
        <w:rPr>
          <w:rFonts w:asciiTheme="majorBidi" w:hAnsiTheme="majorBidi" w:cstheme="majorBidi"/>
          <w:b/>
          <w:bCs/>
          <w:lang w:val="es-CO"/>
        </w:rPr>
      </w:pPr>
    </w:p>
    <w:p w14:paraId="621AAA5E" w14:textId="76E895A6"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14. ¿Cuál de los siguientes enunciados expresa un presupuesto ideológico subyacente que resulta indispensable para sostener la argumentación del autor?</w:t>
      </w:r>
    </w:p>
    <w:p w14:paraId="3406C28C"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La función primordial de la escuela pública es garantizar la cohesión social y la obediencia a las instituciones republicanas.</w:t>
      </w:r>
    </w:p>
    <w:p w14:paraId="02624C01"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Los estudiantes son agentes pasivos que carecen de la capacidad de cuestionar los textos escolares oficiales sin la intervención de un docente marxista.</w:t>
      </w:r>
    </w:p>
    <w:p w14:paraId="100A7F5C"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Existe una relación de causalidad e interdependencia directa entre la comprensión crítica del devenir histórico y la transformación política de la realidad presente.</w:t>
      </w:r>
    </w:p>
    <w:p w14:paraId="7DC49A5A"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La memorización de datos cronológicos es un requisito neurológico previo para el desarrollo del pensamiento abstracto superior.</w:t>
      </w:r>
    </w:p>
    <w:p w14:paraId="58842C58" w14:textId="77777777" w:rsidR="00E75725" w:rsidRPr="00E75725" w:rsidRDefault="00E75725" w:rsidP="00E75725">
      <w:pPr>
        <w:rPr>
          <w:rFonts w:asciiTheme="majorBidi" w:hAnsiTheme="majorBidi" w:cstheme="majorBidi"/>
          <w:b/>
          <w:bCs/>
          <w:lang w:val="es-CO"/>
        </w:rPr>
      </w:pPr>
    </w:p>
    <w:p w14:paraId="7A626CCC" w14:textId="78C57CFC"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TEXTO 8 </w:t>
      </w:r>
    </w:p>
    <w:p w14:paraId="2CF4C2ED"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i/>
          <w:iCs/>
          <w:lang w:val="es-CO"/>
        </w:rPr>
        <w:t>"El incremento de la violencia escolar en la postpandemia no se soluciona con manuales de convivencia punitivos ni con la expulsión sistemática de los estudiantes disruptivos. Los comités de convivencia que aplican la 'tolerancia cero' operan bajo el supuesto de que el aula es un laboratorio aislado y que la manzana podrida debe ser removida para no infectar al resto. Qué miopía tan flagrante. El aula no es un laboratorio; es la caja de resonancia de una sociedad fracturada por el desempleo, el microtráfico y la desintegración familiar. Expulsar al estudiante violento sin intervenir su entorno familiar y social no es solucionar el problema, es simplemente arrojar la basura debajo del tapete para que la recoja el sistema judicial unos años más tarde."</w:t>
      </w:r>
    </w:p>
    <w:p w14:paraId="39C68189" w14:textId="77777777" w:rsidR="00E75725" w:rsidRPr="00E75725" w:rsidRDefault="00E75725" w:rsidP="00E75725">
      <w:pPr>
        <w:rPr>
          <w:rFonts w:asciiTheme="majorBidi" w:hAnsiTheme="majorBidi" w:cstheme="majorBidi"/>
          <w:b/>
          <w:bCs/>
          <w:lang w:val="es-CO"/>
        </w:rPr>
      </w:pPr>
    </w:p>
    <w:p w14:paraId="44E6B878" w14:textId="61A6097A"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15. Al calificar las medidas de expulsión como un acto de </w:t>
      </w:r>
      <w:r w:rsidRPr="00E75725">
        <w:rPr>
          <w:rFonts w:asciiTheme="majorBidi" w:hAnsiTheme="majorBidi" w:cstheme="majorBidi"/>
          <w:b/>
          <w:bCs/>
          <w:i/>
          <w:iCs/>
          <w:lang w:val="es-CO"/>
        </w:rPr>
        <w:t>"arrojar la basura debajo del tapete"</w:t>
      </w:r>
      <w:r w:rsidRPr="00E75725">
        <w:rPr>
          <w:rFonts w:asciiTheme="majorBidi" w:hAnsiTheme="majorBidi" w:cstheme="majorBidi"/>
          <w:b/>
          <w:bCs/>
          <w:lang w:val="es-CO"/>
        </w:rPr>
        <w:t>, el texto introduce una debilidad en su estrategia argumentativa si se considera que:</w:t>
      </w:r>
    </w:p>
    <w:p w14:paraId="623F9A2D"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El uso de metáforas despectivas disminuye el rigor científico del texto y descalifica a priori el esfuerzo administrativo de los rectores por salvaguardar la vida de los demás alumnos.</w:t>
      </w:r>
    </w:p>
    <w:p w14:paraId="3D0A8E3C"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El autor no ofrece una solución económica viable y detallada para financiar los equipos de psicólogos requeridos en cada institución.</w:t>
      </w:r>
    </w:p>
    <w:p w14:paraId="58FF5E20"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Confunde los términos legales relativos al debido proceso con las estrategias pedagógicas de aula.</w:t>
      </w:r>
    </w:p>
    <w:p w14:paraId="57CAD2A8"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Presupone que todos los estudiantes expulsados terminarán de manera inevitable dentro del circuito delictivo del sistema judicial.</w:t>
      </w:r>
    </w:p>
    <w:p w14:paraId="122D6A95" w14:textId="77777777" w:rsidR="00E75725" w:rsidRPr="00E75725" w:rsidRDefault="00E75725" w:rsidP="00E75725">
      <w:pPr>
        <w:rPr>
          <w:rFonts w:asciiTheme="majorBidi" w:hAnsiTheme="majorBidi" w:cstheme="majorBidi"/>
          <w:b/>
          <w:bCs/>
          <w:lang w:val="es-CO"/>
        </w:rPr>
      </w:pPr>
    </w:p>
    <w:p w14:paraId="1B00597D" w14:textId="0F64340C"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16. Si se asume como válida la tesis del autor de que el aula es una </w:t>
      </w:r>
      <w:r w:rsidRPr="00E75725">
        <w:rPr>
          <w:rFonts w:asciiTheme="majorBidi" w:hAnsiTheme="majorBidi" w:cstheme="majorBidi"/>
          <w:b/>
          <w:bCs/>
          <w:i/>
          <w:iCs/>
          <w:lang w:val="es-CO"/>
        </w:rPr>
        <w:t>"caja de resonancia"</w:t>
      </w:r>
      <w:r w:rsidRPr="00E75725">
        <w:rPr>
          <w:rFonts w:asciiTheme="majorBidi" w:hAnsiTheme="majorBidi" w:cstheme="majorBidi"/>
          <w:b/>
          <w:bCs/>
          <w:lang w:val="es-CO"/>
        </w:rPr>
        <w:t xml:space="preserve"> de la descomposición social, la consecuencia pedagógica directa para el diseño curricular de los manuales de convivencia debería ser:</w:t>
      </w:r>
    </w:p>
    <w:p w14:paraId="7775DDCF"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Eliminar cualquier tipo de sanción disciplinaria para evitar la estigmatización de los sectores vulnerables.</w:t>
      </w:r>
    </w:p>
    <w:p w14:paraId="7FCB4063"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w:t>
      </w:r>
      <w:proofErr w:type="spellStart"/>
      <w:r w:rsidRPr="00E75725">
        <w:rPr>
          <w:rFonts w:asciiTheme="majorBidi" w:hAnsiTheme="majorBidi" w:cstheme="majorBidi"/>
          <w:lang w:val="es-CO"/>
        </w:rPr>
        <w:t>Transitir</w:t>
      </w:r>
      <w:proofErr w:type="spellEnd"/>
      <w:r w:rsidRPr="00E75725">
        <w:rPr>
          <w:rFonts w:asciiTheme="majorBidi" w:hAnsiTheme="majorBidi" w:cstheme="majorBidi"/>
          <w:lang w:val="es-CO"/>
        </w:rPr>
        <w:t xml:space="preserve"> de un modelo punitivo-retributivo centrado en la falta individual hacia un enfoque preventivo, restaurativo y comunitario interinstitucional.</w:t>
      </w:r>
    </w:p>
    <w:p w14:paraId="33720F46"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Delegar la seguridad del entorno escolar exclusivamente a las fuerzas de policía comunitaria y fiscales de menores.</w:t>
      </w:r>
    </w:p>
    <w:p w14:paraId="39C0CD44"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lastRenderedPageBreak/>
        <w:t>D.</w:t>
      </w:r>
      <w:r w:rsidRPr="00E75725">
        <w:rPr>
          <w:rFonts w:asciiTheme="majorBidi" w:hAnsiTheme="majorBidi" w:cstheme="majorBidi"/>
          <w:lang w:val="es-CO"/>
        </w:rPr>
        <w:t xml:space="preserve"> Reducir las horas de asignaturas académicas para sustituirlas por terapias psicológicas grupales obligatorias.</w:t>
      </w:r>
    </w:p>
    <w:p w14:paraId="04DC817E" w14:textId="77777777" w:rsidR="00E75725" w:rsidRPr="00E75725" w:rsidRDefault="00E75725" w:rsidP="00E75725">
      <w:pPr>
        <w:rPr>
          <w:rFonts w:asciiTheme="majorBidi" w:hAnsiTheme="majorBidi" w:cstheme="majorBidi"/>
          <w:b/>
          <w:bCs/>
          <w:lang w:val="es-CO"/>
        </w:rPr>
      </w:pPr>
    </w:p>
    <w:p w14:paraId="348F8591" w14:textId="267209BE"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TEXTO 9 </w:t>
      </w:r>
    </w:p>
    <w:p w14:paraId="0103D9AE"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i/>
          <w:iCs/>
          <w:lang w:val="es-CO"/>
        </w:rPr>
        <w:t xml:space="preserve">"La llamada 'pedagogía lúdica' o gamificación total de la enseñanza ha degenerado en una dictadura del entretenimiento escolar. Bajo el lema de que 'el niño debe aprender jugando', se ha desterrado el valor del esfuerzo, la frustración tolerada y el tedio productivo de las aulas. Un estudiante que requiere estímulos </w:t>
      </w:r>
      <w:proofErr w:type="spellStart"/>
      <w:r w:rsidRPr="00E75725">
        <w:rPr>
          <w:rFonts w:asciiTheme="majorBidi" w:hAnsiTheme="majorBidi" w:cstheme="majorBidi"/>
          <w:i/>
          <w:iCs/>
          <w:lang w:val="es-CO"/>
        </w:rPr>
        <w:t>hipermediales</w:t>
      </w:r>
      <w:proofErr w:type="spellEnd"/>
      <w:r w:rsidRPr="00E75725">
        <w:rPr>
          <w:rFonts w:asciiTheme="majorBidi" w:hAnsiTheme="majorBidi" w:cstheme="majorBidi"/>
          <w:i/>
          <w:iCs/>
          <w:lang w:val="es-CO"/>
        </w:rPr>
        <w:t xml:space="preserve"> constantes, medallas digitales y aplausos algorítmicos cada cinco minutos para mantenerse concentrado es un analfabeto funcional en potencia. La ciencia, la filosofía y la alta literatura no son videojuegos; exigen ascetismo cognitivo, silencio y una persistencia monástica que la prisa lúdica destruye. Al infantilizar los procesos de aprendizaje, la escuela no democratiza el saber, sino que condena a los hijos de la clase trabajadora a una superficialidad cognitiva permanente."</w:t>
      </w:r>
    </w:p>
    <w:p w14:paraId="02258641" w14:textId="77777777" w:rsidR="00E75725" w:rsidRPr="00E75725" w:rsidRDefault="00E75725" w:rsidP="00E75725">
      <w:pPr>
        <w:rPr>
          <w:rFonts w:asciiTheme="majorBidi" w:hAnsiTheme="majorBidi" w:cstheme="majorBidi"/>
          <w:b/>
          <w:bCs/>
          <w:lang w:val="es-CO"/>
        </w:rPr>
      </w:pPr>
    </w:p>
    <w:p w14:paraId="0BC29F10" w14:textId="1A607998"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17. Considere el argumento del autor según el cual la gamificación </w:t>
      </w:r>
      <w:r w:rsidRPr="00E75725">
        <w:rPr>
          <w:rFonts w:asciiTheme="majorBidi" w:hAnsiTheme="majorBidi" w:cstheme="majorBidi"/>
          <w:b/>
          <w:bCs/>
          <w:i/>
          <w:iCs/>
          <w:lang w:val="es-CO"/>
        </w:rPr>
        <w:t>"condena a los hijos de la clase trabajadora a una superficialidad cognitiva permanente"</w:t>
      </w:r>
      <w:r w:rsidRPr="00E75725">
        <w:rPr>
          <w:rFonts w:asciiTheme="majorBidi" w:hAnsiTheme="majorBidi" w:cstheme="majorBidi"/>
          <w:b/>
          <w:bCs/>
          <w:lang w:val="es-CO"/>
        </w:rPr>
        <w:t>. ¿Por qué esta conclusión resulta un enunciado cuestionable en términos de su validez lógica?</w:t>
      </w:r>
    </w:p>
    <w:p w14:paraId="445CDACA"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Porque incurre en una contradicción performativa al defender el ascetismo cognitivo mediante un texto de circulación digital masiva.</w:t>
      </w:r>
    </w:p>
    <w:p w14:paraId="394262A5"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Porque establece un nexo de causalidad determinista e irrevocable entre una estrategia metodológica de aula (el juego) y el destino de clase socioeconómico del estudiante, omitiendo otras variables de movilidad social.</w:t>
      </w:r>
    </w:p>
    <w:p w14:paraId="42CF1B46"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Porque ignorar que la clase trabajadora es la que más consume videojuegos en las plataformas de entretenimiento contemporáneas.</w:t>
      </w:r>
    </w:p>
    <w:p w14:paraId="1E562346"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Porque malinterpreta el concepto de gamificación al confundirlo con el simple uso de software educativo de baja calidad recreativa.</w:t>
      </w:r>
    </w:p>
    <w:p w14:paraId="21482ABA" w14:textId="77777777" w:rsidR="00E75725" w:rsidRPr="00E75725" w:rsidRDefault="00E75725" w:rsidP="00E75725">
      <w:pPr>
        <w:rPr>
          <w:rFonts w:asciiTheme="majorBidi" w:hAnsiTheme="majorBidi" w:cstheme="majorBidi"/>
          <w:b/>
          <w:bCs/>
          <w:lang w:val="es-CO"/>
        </w:rPr>
      </w:pPr>
    </w:p>
    <w:p w14:paraId="6993FBE9" w14:textId="749C0A68"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18. A partir del análisis del vocabulario empleado por el autor (</w:t>
      </w:r>
      <w:r w:rsidRPr="00E75725">
        <w:rPr>
          <w:rFonts w:asciiTheme="majorBidi" w:hAnsiTheme="majorBidi" w:cstheme="majorBidi"/>
          <w:b/>
          <w:bCs/>
          <w:i/>
          <w:iCs/>
          <w:lang w:val="es-CO"/>
        </w:rPr>
        <w:t>"dictadura del entretenimiento"</w:t>
      </w:r>
      <w:r w:rsidRPr="00E75725">
        <w:rPr>
          <w:rFonts w:asciiTheme="majorBidi" w:hAnsiTheme="majorBidi" w:cstheme="majorBidi"/>
          <w:b/>
          <w:bCs/>
          <w:lang w:val="es-CO"/>
        </w:rPr>
        <w:t xml:space="preserve">, </w:t>
      </w:r>
      <w:r w:rsidRPr="00E75725">
        <w:rPr>
          <w:rFonts w:asciiTheme="majorBidi" w:hAnsiTheme="majorBidi" w:cstheme="majorBidi"/>
          <w:b/>
          <w:bCs/>
          <w:i/>
          <w:iCs/>
          <w:lang w:val="es-CO"/>
        </w:rPr>
        <w:t>"ascetismo cognitivo"</w:t>
      </w:r>
      <w:r w:rsidRPr="00E75725">
        <w:rPr>
          <w:rFonts w:asciiTheme="majorBidi" w:hAnsiTheme="majorBidi" w:cstheme="majorBidi"/>
          <w:b/>
          <w:bCs/>
          <w:lang w:val="es-CO"/>
        </w:rPr>
        <w:t xml:space="preserve">, </w:t>
      </w:r>
      <w:r w:rsidRPr="00E75725">
        <w:rPr>
          <w:rFonts w:asciiTheme="majorBidi" w:hAnsiTheme="majorBidi" w:cstheme="majorBidi"/>
          <w:b/>
          <w:bCs/>
          <w:i/>
          <w:iCs/>
          <w:lang w:val="es-CO"/>
        </w:rPr>
        <w:t>"infantilizar"</w:t>
      </w:r>
      <w:r w:rsidRPr="00E75725">
        <w:rPr>
          <w:rFonts w:asciiTheme="majorBidi" w:hAnsiTheme="majorBidi" w:cstheme="majorBidi"/>
          <w:b/>
          <w:bCs/>
          <w:lang w:val="es-CO"/>
        </w:rPr>
        <w:t xml:space="preserve">, </w:t>
      </w:r>
      <w:r w:rsidRPr="00E75725">
        <w:rPr>
          <w:rFonts w:asciiTheme="majorBidi" w:hAnsiTheme="majorBidi" w:cstheme="majorBidi"/>
          <w:b/>
          <w:bCs/>
          <w:i/>
          <w:iCs/>
          <w:lang w:val="es-CO"/>
        </w:rPr>
        <w:t>"prisa lúdica"</w:t>
      </w:r>
      <w:r w:rsidRPr="00E75725">
        <w:rPr>
          <w:rFonts w:asciiTheme="majorBidi" w:hAnsiTheme="majorBidi" w:cstheme="majorBidi"/>
          <w:b/>
          <w:bCs/>
          <w:lang w:val="es-CO"/>
        </w:rPr>
        <w:t>), se puede establecer que el tono ideológico del discurso es de corte:</w:t>
      </w:r>
    </w:p>
    <w:p w14:paraId="6D33FE6C"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Progresista y vanguardista, en tanto busca liberar a la escuela pública del yugo de las corporaciones tecnológicas de Silicon Valley.</w:t>
      </w:r>
    </w:p>
    <w:p w14:paraId="7EB45AD5"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Tecnocrático y centrado en la eficiencia del rendimiento escolar cuantificable en pruebas de estado.</w:t>
      </w:r>
    </w:p>
    <w:p w14:paraId="680DA945"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Conservador-epistemológico, en cuanto reivindica las estructuras tradicionales del esfuerzo formal y el rigor académico clásico frente a las corrientes didácticas contemporáneas.</w:t>
      </w:r>
    </w:p>
    <w:p w14:paraId="6F239AB3"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Nihilista, puesto que asume la imposibilidad absoluta de educar de forma crítica a las nuevas generaciones del siglo XXI.</w:t>
      </w:r>
    </w:p>
    <w:p w14:paraId="5AEBFD92" w14:textId="77777777" w:rsidR="00E75725" w:rsidRPr="00E75725" w:rsidRDefault="00E75725" w:rsidP="00E75725">
      <w:pPr>
        <w:rPr>
          <w:rFonts w:asciiTheme="majorBidi" w:hAnsiTheme="majorBidi" w:cstheme="majorBidi"/>
          <w:b/>
          <w:bCs/>
          <w:lang w:val="es-CO"/>
        </w:rPr>
      </w:pPr>
    </w:p>
    <w:p w14:paraId="43F2AEAD" w14:textId="2E2C9D44"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TEXTO 10 </w:t>
      </w:r>
    </w:p>
    <w:p w14:paraId="5024012F"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i/>
          <w:iCs/>
          <w:lang w:val="es-CO"/>
        </w:rPr>
        <w:t xml:space="preserve">"Un proyecto de ley busca modificar las mallas curriculares de las escuelas rurales del país para que se alineen con la 'vocación productiva regional'. En términos claros: si una escuela está en una zona minera, los niños recibirán formación técnica en extracción de minerales; si está en zona agroindustrial, se les educará para ser operarios de plantaciones. Los defensores de la ley argumentan que esto 'evita la migración campesina a las ciudades y genera empleo inmediato'. Qué infamia. Reducir el horizonte ontológico de un niño rural a los requerimientos de mano de obra de la multinacional que opera en su </w:t>
      </w:r>
      <w:r w:rsidRPr="00E75725">
        <w:rPr>
          <w:rFonts w:asciiTheme="majorBidi" w:hAnsiTheme="majorBidi" w:cstheme="majorBidi"/>
          <w:i/>
          <w:iCs/>
          <w:lang w:val="es-CO"/>
        </w:rPr>
        <w:lastRenderedPageBreak/>
        <w:t>municipio no es pertinencia curricular; es servidumbre feudal planificada por el Estado. El hijo del campesino tiene el mismo derecho constitucional a leer a Shakespeare, a programar código o a estudiar astronomía que el hijo del terrateniente o del empresario urbano."</w:t>
      </w:r>
    </w:p>
    <w:p w14:paraId="00F8E3B4" w14:textId="77777777" w:rsidR="00E75725" w:rsidRPr="00E75725" w:rsidRDefault="00E75725" w:rsidP="00E75725">
      <w:pPr>
        <w:rPr>
          <w:rFonts w:asciiTheme="majorBidi" w:hAnsiTheme="majorBidi" w:cstheme="majorBidi"/>
          <w:b/>
          <w:bCs/>
          <w:lang w:val="es-CO"/>
        </w:rPr>
      </w:pPr>
    </w:p>
    <w:p w14:paraId="104E35DA" w14:textId="2A6BB484"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19. Al contrastar la propuesta del proyecto de ley con la postura del columnista, la colisión principal entre ambos discursos se ubica en el plano:</w:t>
      </w:r>
    </w:p>
    <w:p w14:paraId="2374B481"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Financiero, porque discuten si el presupuesto de las escuelas rurales debe provenir de las regalías mineras o de los impuestos nacionales.</w:t>
      </w:r>
    </w:p>
    <w:p w14:paraId="4F3D7734"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Teleológico y de Derechos, ya que la ley entiende la educación rural como un aparato de reproducción de mano de obra local, mientras que el autor la defiende como un derecho universal de emancipación y desarrollo humano integral.</w:t>
      </w:r>
    </w:p>
    <w:p w14:paraId="0412E487"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Geográfico, dado que se debate cuál es la distancia óptima que debe existir entre las instalaciones escolares y las zonas de explotación minera.</w:t>
      </w:r>
    </w:p>
    <w:p w14:paraId="63D5D254"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Metodológico, debido a que el texto confronta las ventajas de la educación técnica presencial frente a las bondades del bachillerato virtual.</w:t>
      </w:r>
    </w:p>
    <w:p w14:paraId="014BC232" w14:textId="77777777" w:rsidR="00E75725" w:rsidRPr="00E75725" w:rsidRDefault="00E75725" w:rsidP="00E75725">
      <w:pPr>
        <w:rPr>
          <w:rFonts w:asciiTheme="majorBidi" w:hAnsiTheme="majorBidi" w:cstheme="majorBidi"/>
          <w:b/>
          <w:bCs/>
          <w:lang w:val="es-CO"/>
        </w:rPr>
      </w:pPr>
    </w:p>
    <w:p w14:paraId="1CF2BEB4" w14:textId="6F288A3A" w:rsidR="00E75725" w:rsidRPr="00E75725" w:rsidRDefault="00E75725" w:rsidP="00E75725">
      <w:pPr>
        <w:rPr>
          <w:rFonts w:asciiTheme="majorBidi" w:hAnsiTheme="majorBidi" w:cstheme="majorBidi"/>
          <w:b/>
          <w:bCs/>
          <w:lang w:val="es-CO"/>
        </w:rPr>
      </w:pPr>
      <w:r w:rsidRPr="00E75725">
        <w:rPr>
          <w:rFonts w:asciiTheme="majorBidi" w:hAnsiTheme="majorBidi" w:cstheme="majorBidi"/>
          <w:b/>
          <w:bCs/>
          <w:lang w:val="es-CO"/>
        </w:rPr>
        <w:t xml:space="preserve">20. El argumento de los defensores del proyecto de ley según el cual la medida </w:t>
      </w:r>
      <w:r w:rsidRPr="00E75725">
        <w:rPr>
          <w:rFonts w:asciiTheme="majorBidi" w:hAnsiTheme="majorBidi" w:cstheme="majorBidi"/>
          <w:b/>
          <w:bCs/>
          <w:i/>
          <w:iCs/>
          <w:lang w:val="es-CO"/>
        </w:rPr>
        <w:t>"evita la migración campesina a las ciudades"</w:t>
      </w:r>
      <w:r w:rsidRPr="00E75725">
        <w:rPr>
          <w:rFonts w:asciiTheme="majorBidi" w:hAnsiTheme="majorBidi" w:cstheme="majorBidi"/>
          <w:b/>
          <w:bCs/>
          <w:lang w:val="es-CO"/>
        </w:rPr>
        <w:t xml:space="preserve"> contiene, según la perspectiva analítica del texto, un sesgo que consiste en:</w:t>
      </w:r>
    </w:p>
    <w:p w14:paraId="278ABF3B"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A.</w:t>
      </w:r>
      <w:r w:rsidRPr="00E75725">
        <w:rPr>
          <w:rFonts w:asciiTheme="majorBidi" w:hAnsiTheme="majorBidi" w:cstheme="majorBidi"/>
          <w:lang w:val="es-CO"/>
        </w:rPr>
        <w:t xml:space="preserve"> Un sesgo de género que invisibiliza el papel de las mujeres rurales en los procesos de soberanía alimentaria nacional.</w:t>
      </w:r>
    </w:p>
    <w:p w14:paraId="10D70AFC"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B.</w:t>
      </w:r>
      <w:r w:rsidRPr="00E75725">
        <w:rPr>
          <w:rFonts w:asciiTheme="majorBidi" w:hAnsiTheme="majorBidi" w:cstheme="majorBidi"/>
          <w:lang w:val="es-CO"/>
        </w:rPr>
        <w:t xml:space="preserve"> Un presupuesto discriminatorio que asume que el destino geográfico y sociolaboral de los sujetos debe estar determinado por su lugar de nacimiento, restringiendo su libertad de elección mediante el currículo escolar.</w:t>
      </w:r>
    </w:p>
    <w:p w14:paraId="24CD2324"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C.</w:t>
      </w:r>
      <w:r w:rsidRPr="00E75725">
        <w:rPr>
          <w:rFonts w:asciiTheme="majorBidi" w:hAnsiTheme="majorBidi" w:cstheme="majorBidi"/>
          <w:lang w:val="es-CO"/>
        </w:rPr>
        <w:t xml:space="preserve"> Una falacia de falsa analogía al equiparar los entornos rurales del país con los distritos industriales europeos del siglo XIX.</w:t>
      </w:r>
    </w:p>
    <w:p w14:paraId="6CC9DB64" w14:textId="77777777" w:rsidR="00E75725" w:rsidRPr="00E75725" w:rsidRDefault="00E75725" w:rsidP="00E75725">
      <w:pPr>
        <w:rPr>
          <w:rFonts w:asciiTheme="majorBidi" w:hAnsiTheme="majorBidi" w:cstheme="majorBidi"/>
          <w:lang w:val="es-CO"/>
        </w:rPr>
      </w:pPr>
      <w:r w:rsidRPr="00E75725">
        <w:rPr>
          <w:rFonts w:asciiTheme="majorBidi" w:hAnsiTheme="majorBidi" w:cstheme="majorBidi"/>
          <w:b/>
          <w:bCs/>
          <w:lang w:val="es-CO"/>
        </w:rPr>
        <w:t>D.</w:t>
      </w:r>
      <w:r w:rsidRPr="00E75725">
        <w:rPr>
          <w:rFonts w:asciiTheme="majorBidi" w:hAnsiTheme="majorBidi" w:cstheme="majorBidi"/>
          <w:lang w:val="es-CO"/>
        </w:rPr>
        <w:t xml:space="preserve"> Un error estadístico al subestimar el censo real de jóvenes que emigran anualmente hacia las capitales de provincia.</w:t>
      </w:r>
    </w:p>
    <w:p w14:paraId="77FBBD45" w14:textId="77777777" w:rsidR="001B5E68" w:rsidRPr="00E75725" w:rsidRDefault="001B5E68">
      <w:pPr>
        <w:rPr>
          <w:rFonts w:asciiTheme="majorBidi" w:hAnsiTheme="majorBidi" w:cstheme="majorBidi"/>
        </w:rPr>
      </w:pPr>
    </w:p>
    <w:sectPr w:rsidR="001B5E68" w:rsidRPr="00E75725" w:rsidSect="00E75725">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554D1"/>
    <w:multiLevelType w:val="multilevel"/>
    <w:tmpl w:val="439625AA"/>
    <w:lvl w:ilvl="0">
      <w:start w:val="1"/>
      <w:numFmt w:val="decimal"/>
      <w:pStyle w:val="Ti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8BB4F70"/>
    <w:multiLevelType w:val="multilevel"/>
    <w:tmpl w:val="A5180A8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0DE3AD6"/>
    <w:multiLevelType w:val="multilevel"/>
    <w:tmpl w:val="AEB626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Esti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8FF2E2E"/>
    <w:multiLevelType w:val="multilevel"/>
    <w:tmpl w:val="0CCC3C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FE42CE9"/>
    <w:multiLevelType w:val="multilevel"/>
    <w:tmpl w:val="9FAE4714"/>
    <w:lvl w:ilvl="0">
      <w:start w:val="1"/>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94179F"/>
    <w:multiLevelType w:val="hybridMultilevel"/>
    <w:tmpl w:val="BB8459BC"/>
    <w:lvl w:ilvl="0" w:tplc="047410B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16cid:durableId="591622830">
    <w:abstractNumId w:val="1"/>
  </w:num>
  <w:num w:numId="2" w16cid:durableId="1949460390">
    <w:abstractNumId w:val="5"/>
  </w:num>
  <w:num w:numId="3" w16cid:durableId="1113983625">
    <w:abstractNumId w:val="5"/>
  </w:num>
  <w:num w:numId="4" w16cid:durableId="467362224">
    <w:abstractNumId w:val="0"/>
  </w:num>
  <w:num w:numId="5" w16cid:durableId="1750927385">
    <w:abstractNumId w:val="3"/>
  </w:num>
  <w:num w:numId="6" w16cid:durableId="1237089093">
    <w:abstractNumId w:val="3"/>
  </w:num>
  <w:num w:numId="7" w16cid:durableId="477653851">
    <w:abstractNumId w:val="4"/>
  </w:num>
  <w:num w:numId="8" w16cid:durableId="1520848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725"/>
    <w:rsid w:val="001343C5"/>
    <w:rsid w:val="00156735"/>
    <w:rsid w:val="001B5E68"/>
    <w:rsid w:val="003A3F15"/>
    <w:rsid w:val="003E70C7"/>
    <w:rsid w:val="00405D13"/>
    <w:rsid w:val="005326F8"/>
    <w:rsid w:val="00587BDB"/>
    <w:rsid w:val="0063262B"/>
    <w:rsid w:val="00665A99"/>
    <w:rsid w:val="00AE361A"/>
    <w:rsid w:val="00B3217B"/>
    <w:rsid w:val="00BB4737"/>
    <w:rsid w:val="00BF1221"/>
    <w:rsid w:val="00E747B5"/>
    <w:rsid w:val="00E75725"/>
    <w:rsid w:val="00EC1D90"/>
    <w:rsid w:val="00EF4079"/>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5C655"/>
  <w15:chartTrackingRefBased/>
  <w15:docId w15:val="{6E1AC64D-E8D0-4EC4-9DD0-F971C281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ind w:firstLine="0"/>
    </w:pPr>
    <w:rPr>
      <w:lang w:val="es-ES"/>
    </w:rPr>
  </w:style>
  <w:style w:type="paragraph" w:styleId="Ttulo1">
    <w:name w:val="heading 1"/>
    <w:basedOn w:val="Normal"/>
    <w:next w:val="Normal"/>
    <w:link w:val="Ttulo1Car"/>
    <w:autoRedefine/>
    <w:uiPriority w:val="9"/>
    <w:qFormat/>
    <w:rsid w:val="005326F8"/>
    <w:pPr>
      <w:keepNext/>
      <w:numPr>
        <w:numId w:val="1"/>
      </w:numPr>
      <w:spacing w:before="240" w:after="60" w:line="480" w:lineRule="auto"/>
      <w:jc w:val="center"/>
      <w:outlineLvl w:val="0"/>
    </w:pPr>
    <w:rPr>
      <w:rFonts w:asciiTheme="minorBidi" w:eastAsiaTheme="majorEastAsia" w:hAnsiTheme="minorBidi" w:cstheme="majorBidi"/>
      <w:b/>
      <w:bCs/>
      <w:kern w:val="32"/>
      <w:sz w:val="24"/>
      <w:szCs w:val="32"/>
      <w:lang w:val="es-CO"/>
    </w:rPr>
  </w:style>
  <w:style w:type="paragraph" w:styleId="Ttulo2">
    <w:name w:val="heading 2"/>
    <w:aliases w:val="Título 2 Subtítulo principal"/>
    <w:basedOn w:val="Normal"/>
    <w:next w:val="Normal"/>
    <w:link w:val="Ttulo2Car"/>
    <w:uiPriority w:val="9"/>
    <w:unhideWhenUsed/>
    <w:qFormat/>
    <w:rsid w:val="00E747B5"/>
    <w:pPr>
      <w:keepNext/>
      <w:keepLines/>
      <w:numPr>
        <w:ilvl w:val="1"/>
        <w:numId w:val="1"/>
      </w:numPr>
      <w:spacing w:line="480" w:lineRule="auto"/>
      <w:outlineLvl w:val="1"/>
    </w:pPr>
    <w:rPr>
      <w:rFonts w:ascii="Times New Roman" w:eastAsia="Times New Roman" w:hAnsi="Times New Roman" w:cs="Times New Roman"/>
      <w:b/>
      <w:sz w:val="24"/>
      <w:szCs w:val="24"/>
      <w:lang w:eastAsia="es-CO"/>
    </w:rPr>
  </w:style>
  <w:style w:type="paragraph" w:styleId="Ttulo3">
    <w:name w:val="heading 3"/>
    <w:aliases w:val="Título 3 Subtítulos secundarios"/>
    <w:basedOn w:val="Normal"/>
    <w:next w:val="Normal"/>
    <w:link w:val="Ttulo3Car"/>
    <w:uiPriority w:val="9"/>
    <w:unhideWhenUsed/>
    <w:qFormat/>
    <w:rsid w:val="00BF1221"/>
    <w:pPr>
      <w:keepNext/>
      <w:numPr>
        <w:ilvl w:val="2"/>
        <w:numId w:val="1"/>
      </w:numPr>
      <w:spacing w:line="480" w:lineRule="auto"/>
      <w:outlineLvl w:val="2"/>
    </w:pPr>
    <w:rPr>
      <w:rFonts w:ascii="Times New Roman" w:eastAsia="Times New Roman" w:hAnsi="Times New Roman" w:cs="Times New Roman"/>
      <w:b/>
      <w:i/>
      <w:sz w:val="24"/>
      <w:szCs w:val="24"/>
      <w:lang w:eastAsia="es-CO"/>
    </w:rPr>
  </w:style>
  <w:style w:type="paragraph" w:styleId="Ttulo4">
    <w:name w:val="heading 4"/>
    <w:basedOn w:val="Normal"/>
    <w:next w:val="Normal"/>
    <w:link w:val="Ttulo4Car"/>
    <w:uiPriority w:val="9"/>
    <w:semiHidden/>
    <w:unhideWhenUsed/>
    <w:qFormat/>
    <w:rsid w:val="00E7572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7572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7572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7572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7572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7572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Título principal"/>
    <w:basedOn w:val="Normal"/>
    <w:link w:val="TextoindependienteCar"/>
    <w:autoRedefine/>
    <w:uiPriority w:val="1"/>
    <w:qFormat/>
    <w:rsid w:val="00EC1D90"/>
    <w:pPr>
      <w:widowControl w:val="0"/>
      <w:autoSpaceDE w:val="0"/>
      <w:autoSpaceDN w:val="0"/>
      <w:spacing w:line="480" w:lineRule="auto"/>
      <w:jc w:val="center"/>
    </w:pPr>
    <w:rPr>
      <w:rFonts w:ascii="Times New Roman" w:eastAsia="Times New Roman" w:hAnsi="Times New Roman" w:cs="Times New Roman"/>
      <w:b/>
      <w:sz w:val="24"/>
      <w:szCs w:val="24"/>
      <w:lang w:val="en-US"/>
    </w:rPr>
  </w:style>
  <w:style w:type="character" w:customStyle="1" w:styleId="TextoindependienteCar">
    <w:name w:val="Texto independiente Car"/>
    <w:aliases w:val="Título principal Car"/>
    <w:basedOn w:val="Fuentedeprrafopredeter"/>
    <w:link w:val="Textoindependiente"/>
    <w:uiPriority w:val="1"/>
    <w:rsid w:val="00EC1D90"/>
    <w:rPr>
      <w:rFonts w:ascii="Times New Roman" w:eastAsia="Times New Roman" w:hAnsi="Times New Roman" w:cs="Times New Roman"/>
      <w:b/>
      <w:sz w:val="24"/>
      <w:szCs w:val="24"/>
      <w:lang w:val="en-US"/>
    </w:rPr>
  </w:style>
  <w:style w:type="character" w:customStyle="1" w:styleId="Ttulo2Car">
    <w:name w:val="Título 2 Car"/>
    <w:aliases w:val="Título 2 Subtítulo principal Car"/>
    <w:basedOn w:val="Fuentedeprrafopredeter"/>
    <w:link w:val="Ttulo2"/>
    <w:uiPriority w:val="9"/>
    <w:rsid w:val="00E747B5"/>
    <w:rPr>
      <w:rFonts w:ascii="Times New Roman" w:eastAsia="Times New Roman" w:hAnsi="Times New Roman" w:cs="Times New Roman"/>
      <w:b/>
      <w:sz w:val="24"/>
      <w:szCs w:val="24"/>
      <w:lang w:eastAsia="es-CO"/>
    </w:rPr>
  </w:style>
  <w:style w:type="character" w:customStyle="1" w:styleId="Ttulo3Car">
    <w:name w:val="Título 3 Car"/>
    <w:aliases w:val="Título 3 Subtítulos secundarios Car"/>
    <w:basedOn w:val="Fuentedeprrafopredeter"/>
    <w:link w:val="Ttulo3"/>
    <w:uiPriority w:val="9"/>
    <w:rsid w:val="00BF1221"/>
    <w:rPr>
      <w:rFonts w:ascii="Times New Roman" w:eastAsia="Times New Roman" w:hAnsi="Times New Roman" w:cs="Times New Roman"/>
      <w:b/>
      <w:i/>
      <w:sz w:val="24"/>
      <w:szCs w:val="24"/>
      <w:lang w:eastAsia="es-CO"/>
    </w:rPr>
  </w:style>
  <w:style w:type="paragraph" w:styleId="TDC1">
    <w:name w:val="toc 1"/>
    <w:basedOn w:val="Normal"/>
    <w:next w:val="Normal"/>
    <w:autoRedefine/>
    <w:uiPriority w:val="39"/>
    <w:unhideWhenUsed/>
    <w:qFormat/>
    <w:rsid w:val="00AE361A"/>
    <w:pPr>
      <w:spacing w:after="100" w:line="480" w:lineRule="auto"/>
    </w:pPr>
    <w:rPr>
      <w:rFonts w:asciiTheme="majorBidi" w:eastAsia="Times New Roman" w:hAnsiTheme="majorBidi" w:cs="Times New Roman"/>
      <w:kern w:val="0"/>
      <w:sz w:val="24"/>
      <w:szCs w:val="20"/>
      <w:lang w:val="en-US"/>
      <w14:ligatures w14:val="none"/>
    </w:rPr>
  </w:style>
  <w:style w:type="paragraph" w:styleId="TDC2">
    <w:name w:val="toc 2"/>
    <w:basedOn w:val="Normal"/>
    <w:next w:val="Normal"/>
    <w:autoRedefine/>
    <w:uiPriority w:val="39"/>
    <w:unhideWhenUsed/>
    <w:qFormat/>
    <w:rsid w:val="00AE361A"/>
    <w:pPr>
      <w:spacing w:after="100" w:line="480" w:lineRule="auto"/>
      <w:ind w:left="200"/>
    </w:pPr>
    <w:rPr>
      <w:rFonts w:asciiTheme="majorBidi" w:eastAsia="Times New Roman" w:hAnsiTheme="majorBidi" w:cs="Times New Roman"/>
      <w:kern w:val="0"/>
      <w:sz w:val="24"/>
      <w:szCs w:val="20"/>
      <w:lang w:val="en-US"/>
      <w14:ligatures w14:val="none"/>
    </w:rPr>
  </w:style>
  <w:style w:type="paragraph" w:styleId="TDC3">
    <w:name w:val="toc 3"/>
    <w:basedOn w:val="Normal"/>
    <w:next w:val="Normal"/>
    <w:autoRedefine/>
    <w:uiPriority w:val="39"/>
    <w:unhideWhenUsed/>
    <w:qFormat/>
    <w:rsid w:val="00AE361A"/>
    <w:pPr>
      <w:spacing w:after="100" w:line="480" w:lineRule="auto"/>
      <w:ind w:left="400"/>
    </w:pPr>
    <w:rPr>
      <w:rFonts w:asciiTheme="majorBidi" w:eastAsia="Times New Roman" w:hAnsiTheme="majorBidi" w:cs="Times New Roman"/>
      <w:kern w:val="0"/>
      <w:sz w:val="24"/>
      <w:szCs w:val="20"/>
      <w:lang w:val="en-US"/>
      <w14:ligatures w14:val="none"/>
    </w:rPr>
  </w:style>
  <w:style w:type="character" w:customStyle="1" w:styleId="Ttulo1Car">
    <w:name w:val="Título 1 Car"/>
    <w:basedOn w:val="Fuentedeprrafopredeter"/>
    <w:link w:val="Ttulo1"/>
    <w:uiPriority w:val="9"/>
    <w:rsid w:val="005326F8"/>
    <w:rPr>
      <w:rFonts w:asciiTheme="minorBidi" w:eastAsiaTheme="majorEastAsia" w:hAnsiTheme="minorBidi" w:cstheme="majorBidi"/>
      <w:b/>
      <w:bCs/>
      <w:kern w:val="32"/>
      <w:sz w:val="24"/>
      <w:szCs w:val="32"/>
    </w:rPr>
  </w:style>
  <w:style w:type="paragraph" w:customStyle="1" w:styleId="Tituloprincipal">
    <w:name w:val="Titulo principal"/>
    <w:basedOn w:val="Normal"/>
    <w:next w:val="Textoindependiente"/>
    <w:autoRedefine/>
    <w:qFormat/>
    <w:rsid w:val="005326F8"/>
    <w:pPr>
      <w:keepNext/>
      <w:keepLines/>
      <w:spacing w:before="300" w:after="300" w:line="480" w:lineRule="auto"/>
      <w:jc w:val="center"/>
    </w:pPr>
    <w:rPr>
      <w:rFonts w:asciiTheme="minorBidi" w:hAnsiTheme="minorBidi"/>
      <w:b/>
      <w:kern w:val="0"/>
      <w:sz w:val="24"/>
      <w:szCs w:val="20"/>
      <w:lang w:val="en-US"/>
      <w14:ligatures w14:val="none"/>
    </w:rPr>
  </w:style>
  <w:style w:type="paragraph" w:customStyle="1" w:styleId="Author">
    <w:name w:val="Author"/>
    <w:next w:val="Textoindependiente"/>
    <w:autoRedefine/>
    <w:qFormat/>
    <w:rsid w:val="005326F8"/>
    <w:pPr>
      <w:keepNext/>
      <w:keepLines/>
      <w:spacing w:after="200"/>
      <w:ind w:firstLine="0"/>
      <w:jc w:val="center"/>
    </w:pPr>
    <w:rPr>
      <w:rFonts w:asciiTheme="minorBidi" w:hAnsiTheme="minorBidi"/>
      <w:b/>
      <w:kern w:val="0"/>
      <w:sz w:val="24"/>
      <w:szCs w:val="24"/>
      <w:lang w:val="en-US"/>
      <w14:ligatures w14:val="none"/>
    </w:rPr>
  </w:style>
  <w:style w:type="paragraph" w:customStyle="1" w:styleId="Titulo1">
    <w:name w:val="Titulo 1"/>
    <w:basedOn w:val="Prrafodelista"/>
    <w:link w:val="Titulo1Car"/>
    <w:autoRedefine/>
    <w:qFormat/>
    <w:rsid w:val="005326F8"/>
    <w:pPr>
      <w:numPr>
        <w:numId w:val="4"/>
      </w:numPr>
      <w:spacing w:after="200" w:line="480" w:lineRule="auto"/>
      <w:ind w:left="1080" w:hanging="360"/>
      <w:jc w:val="center"/>
    </w:pPr>
    <w:rPr>
      <w:rFonts w:asciiTheme="minorBidi" w:eastAsia="Calibri" w:hAnsiTheme="minorBidi"/>
      <w:b/>
      <w:sz w:val="24"/>
      <w:szCs w:val="24"/>
      <w:lang w:val="es-CO"/>
    </w:rPr>
  </w:style>
  <w:style w:type="character" w:customStyle="1" w:styleId="Titulo1Car">
    <w:name w:val="Titulo 1 Car"/>
    <w:basedOn w:val="Fuentedeprrafopredeter"/>
    <w:link w:val="Titulo1"/>
    <w:rsid w:val="005326F8"/>
    <w:rPr>
      <w:rFonts w:asciiTheme="minorBidi" w:eastAsia="Calibri" w:hAnsiTheme="minorBidi"/>
      <w:b/>
      <w:sz w:val="24"/>
      <w:szCs w:val="24"/>
    </w:rPr>
  </w:style>
  <w:style w:type="paragraph" w:styleId="Prrafodelista">
    <w:name w:val="List Paragraph"/>
    <w:basedOn w:val="Normal"/>
    <w:uiPriority w:val="34"/>
    <w:qFormat/>
    <w:rsid w:val="005326F8"/>
    <w:pPr>
      <w:ind w:left="720"/>
      <w:contextualSpacing/>
    </w:pPr>
  </w:style>
  <w:style w:type="paragraph" w:customStyle="1" w:styleId="Titulo2">
    <w:name w:val="Titulo 2"/>
    <w:basedOn w:val="Normal"/>
    <w:next w:val="Textoindependiente"/>
    <w:autoRedefine/>
    <w:qFormat/>
    <w:rsid w:val="005326F8"/>
    <w:pPr>
      <w:keepNext/>
      <w:keepLines/>
      <w:spacing w:before="300" w:after="300" w:line="480" w:lineRule="auto"/>
      <w:ind w:left="708"/>
    </w:pPr>
    <w:rPr>
      <w:rFonts w:asciiTheme="minorBidi" w:hAnsiTheme="minorBidi"/>
      <w:b/>
      <w:kern w:val="0"/>
      <w:sz w:val="24"/>
      <w:szCs w:val="20"/>
      <w:lang w:val="es-CO" w:eastAsia="es-ES"/>
      <w14:ligatures w14:val="none"/>
    </w:rPr>
  </w:style>
  <w:style w:type="paragraph" w:customStyle="1" w:styleId="Estilo1">
    <w:name w:val="Estilo1"/>
    <w:basedOn w:val="Ttulo1"/>
    <w:link w:val="Estilo1Car"/>
    <w:autoRedefine/>
    <w:qFormat/>
    <w:rsid w:val="00AE361A"/>
    <w:pPr>
      <w:numPr>
        <w:numId w:val="0"/>
      </w:numPr>
      <w:ind w:left="720"/>
    </w:pPr>
    <w:rPr>
      <w:rFonts w:asciiTheme="majorBidi" w:hAnsiTheme="majorBidi"/>
      <w:bCs w:val="0"/>
      <w:szCs w:val="24"/>
    </w:rPr>
  </w:style>
  <w:style w:type="character" w:customStyle="1" w:styleId="Estilo1Car">
    <w:name w:val="Estilo1 Car"/>
    <w:basedOn w:val="Fuentedeprrafopredeter"/>
    <w:link w:val="Estilo1"/>
    <w:rsid w:val="00AE361A"/>
    <w:rPr>
      <w:rFonts w:asciiTheme="majorBidi" w:eastAsiaTheme="majorEastAsia" w:hAnsiTheme="majorBidi" w:cstheme="majorBidi"/>
      <w:b/>
      <w:kern w:val="32"/>
      <w:sz w:val="24"/>
      <w:szCs w:val="24"/>
    </w:rPr>
  </w:style>
  <w:style w:type="paragraph" w:customStyle="1" w:styleId="Estilo2">
    <w:name w:val="Estilo2"/>
    <w:basedOn w:val="Author"/>
    <w:link w:val="Estilo2Car"/>
    <w:autoRedefine/>
    <w:qFormat/>
    <w:rsid w:val="00AE361A"/>
    <w:pPr>
      <w:numPr>
        <w:ilvl w:val="1"/>
        <w:numId w:val="7"/>
      </w:numPr>
      <w:jc w:val="left"/>
    </w:pPr>
    <w:rPr>
      <w:rFonts w:asciiTheme="majorBidi" w:hAnsiTheme="majorBidi" w:cstheme="majorBidi"/>
      <w:bCs/>
      <w:lang w:val="es-ES"/>
    </w:rPr>
  </w:style>
  <w:style w:type="character" w:customStyle="1" w:styleId="Estilo2Car">
    <w:name w:val="Estilo2 Car"/>
    <w:basedOn w:val="Estilo1Car"/>
    <w:link w:val="Estilo2"/>
    <w:rsid w:val="00AE361A"/>
    <w:rPr>
      <w:rFonts w:asciiTheme="majorBidi" w:eastAsiaTheme="majorEastAsia" w:hAnsiTheme="majorBidi" w:cstheme="majorBidi"/>
      <w:b/>
      <w:kern w:val="0"/>
      <w:sz w:val="24"/>
      <w:szCs w:val="24"/>
      <w14:ligatures w14:val="none"/>
    </w:rPr>
  </w:style>
  <w:style w:type="paragraph" w:customStyle="1" w:styleId="Estilo3">
    <w:name w:val="Estilo3"/>
    <w:basedOn w:val="Ttulo3"/>
    <w:link w:val="Estilo3Car"/>
    <w:autoRedefine/>
    <w:qFormat/>
    <w:rsid w:val="00AE361A"/>
    <w:pPr>
      <w:numPr>
        <w:numId w:val="8"/>
      </w:numPr>
      <w:ind w:left="720"/>
    </w:pPr>
    <w:rPr>
      <w:rFonts w:asciiTheme="majorBidi" w:hAnsiTheme="majorBidi" w:cstheme="majorBidi"/>
      <w:bCs/>
      <w:i w:val="0"/>
      <w:iCs/>
    </w:rPr>
  </w:style>
  <w:style w:type="character" w:customStyle="1" w:styleId="Estilo3Car">
    <w:name w:val="Estilo3 Car"/>
    <w:basedOn w:val="Fuentedeprrafopredeter"/>
    <w:link w:val="Estilo3"/>
    <w:rsid w:val="00AE361A"/>
    <w:rPr>
      <w:rFonts w:asciiTheme="majorBidi" w:eastAsia="Times New Roman" w:hAnsiTheme="majorBidi" w:cstheme="majorBidi"/>
      <w:b/>
      <w:bCs/>
      <w:iCs/>
      <w:sz w:val="24"/>
      <w:szCs w:val="24"/>
      <w:lang w:val="es-ES" w:eastAsia="es-CO"/>
    </w:rPr>
  </w:style>
  <w:style w:type="character" w:customStyle="1" w:styleId="Ttulo4Car">
    <w:name w:val="Título 4 Car"/>
    <w:basedOn w:val="Fuentedeprrafopredeter"/>
    <w:link w:val="Ttulo4"/>
    <w:uiPriority w:val="9"/>
    <w:semiHidden/>
    <w:rsid w:val="00E75725"/>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E75725"/>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E75725"/>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E75725"/>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E75725"/>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E75725"/>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E757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75725"/>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E75725"/>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75725"/>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E7572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75725"/>
    <w:rPr>
      <w:i/>
      <w:iCs/>
      <w:color w:val="404040" w:themeColor="text1" w:themeTint="BF"/>
      <w:lang w:val="es-ES"/>
    </w:rPr>
  </w:style>
  <w:style w:type="character" w:styleId="nfasisintenso">
    <w:name w:val="Intense Emphasis"/>
    <w:basedOn w:val="Fuentedeprrafopredeter"/>
    <w:uiPriority w:val="21"/>
    <w:qFormat/>
    <w:rsid w:val="00E75725"/>
    <w:rPr>
      <w:i/>
      <w:iCs/>
      <w:color w:val="0F4761" w:themeColor="accent1" w:themeShade="BF"/>
    </w:rPr>
  </w:style>
  <w:style w:type="paragraph" w:styleId="Citadestacada">
    <w:name w:val="Intense Quote"/>
    <w:basedOn w:val="Normal"/>
    <w:next w:val="Normal"/>
    <w:link w:val="CitadestacadaCar"/>
    <w:uiPriority w:val="30"/>
    <w:qFormat/>
    <w:rsid w:val="00E757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75725"/>
    <w:rPr>
      <w:i/>
      <w:iCs/>
      <w:color w:val="0F4761" w:themeColor="accent1" w:themeShade="BF"/>
      <w:lang w:val="es-ES"/>
    </w:rPr>
  </w:style>
  <w:style w:type="character" w:styleId="Referenciaintensa">
    <w:name w:val="Intense Reference"/>
    <w:basedOn w:val="Fuentedeprrafopredeter"/>
    <w:uiPriority w:val="32"/>
    <w:qFormat/>
    <w:rsid w:val="00E757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3650</Words>
  <Characters>20075</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Henao Ospina</dc:creator>
  <cp:keywords/>
  <dc:description/>
  <cp:lastModifiedBy>Sebastián Henao Ospina</cp:lastModifiedBy>
  <cp:revision>1</cp:revision>
  <dcterms:created xsi:type="dcterms:W3CDTF">2026-06-04T02:07:00Z</dcterms:created>
  <dcterms:modified xsi:type="dcterms:W3CDTF">2026-06-04T02:18:00Z</dcterms:modified>
</cp:coreProperties>
</file>